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mc:Ignorable="wp14 w14 w15">
  <w:background w:color="FFFFFF"/>
  <w:body>
    <w:p>
      <w:pPr>
        <w:jc w:val="center"/>
        <w:rPr>
          <w:rFonts w:ascii="Liberation Serif" w:hAnsi="Liberation Serif" w:cs="Liberation Serif"/>
          <w:sz w:val="20"/>
          <w:lang w:val="es-ES" w:eastAsia="es-ES"/>
        </w:rPr>
      </w:pPr>
      <w:bookmarkStart w:id="0" w:name="Final_5"/>
      <w:bookmarkEnd w:id="0"/>
    </w:p>
    <w:p>
      <w:pPr>
        <w:rPr>
          <w:rFonts w:ascii="Arial" w:hAnsi="Arial" w:cstheme="minorBidi"/>
          <w:b w:val="1"/>
          <w:sz w:val="20"/>
          <w:u w:val="single"/>
          <w:lang w:val="es-ES" w:eastAsia="es-ES"/>
        </w:rPr>
      </w:pPr>
      <w:r>
        <w:rPr>
          <w:rFonts w:ascii="Arial" w:hAnsi="Arial" w:cstheme="minorBidi"/>
          <w:b w:val="1"/>
          <w:sz w:val="20"/>
          <w:u w:val="single"/>
          <w:lang w:val="es-ES" w:eastAsia="es-ES"/>
        </w:rPr>
        <w:t>ANNEX I</w:t>
      </w:r>
    </w:p>
    <w:p>
      <w:pPr>
        <w:rPr>
          <w:rFonts w:ascii="Liberation Serif" w:hAnsi="Liberation Serif" w:cs="Liberation Serif"/>
          <w:sz w:val="20"/>
          <w:lang w:val="es-ES" w:eastAsia="es-ES"/>
        </w:rPr>
      </w:pPr>
    </w:p>
    <w:p>
      <w:pPr>
        <w:jc w:val="center"/>
        <w:rPr>
          <w:rFonts w:ascii="Arial" w:hAnsi="Arial" w:cstheme="minorBidi"/>
          <w:sz w:val="20"/>
          <w:lang w:val="es-ES" w:eastAsia="es-ES"/>
        </w:rPr>
      </w:pPr>
      <w:r>
        <w:rPr>
          <w:rFonts w:ascii="Arial" w:hAnsi="Arial" w:cstheme="minorBidi"/>
          <w:b w:val="1"/>
          <w:sz w:val="20"/>
          <w:lang w:val="ca-ES" w:eastAsia="ca-ES"/>
        </w:rPr>
        <w:t>Ordenança reguladora del preu públic per la prestació del servei públic municipal d’atenció a la primera infància (0-3 anys) de l’Escola Infantil ses Oronelles de Ferreries</w:t>
      </w:r>
    </w:p>
    <w:p>
      <w:pPr>
        <w:jc w:val="center"/>
        <w:rPr>
          <w:rFonts w:ascii="Arial" w:hAnsi="Arial" w:cstheme="minorBidi"/>
          <w:sz w:val="20"/>
          <w:lang w:val="ca-ES" w:eastAsia="ca-ES"/>
        </w:rPr>
      </w:pPr>
    </w:p>
    <w:p>
      <w:pPr>
        <w:jc w:val="both"/>
        <w:rPr>
          <w:rFonts w:ascii="Arial" w:hAnsi="Arial" w:cstheme="minorBidi"/>
          <w:b w:val="1"/>
          <w:sz w:val="20"/>
          <w:lang w:val="ca-ES" w:eastAsia="ca-ES"/>
        </w:rPr>
      </w:pPr>
    </w:p>
    <w:p>
      <w:pPr>
        <w:rPr>
          <w:rFonts w:ascii="Arial" w:hAnsi="Arial" w:cstheme="minorBidi"/>
          <w:sz w:val="20"/>
          <w:lang w:val="ca-ES" w:eastAsia="ca-ES"/>
        </w:rPr>
      </w:pPr>
      <w:r>
        <w:rPr>
          <w:rFonts w:ascii="Arial" w:hAnsi="Arial" w:cstheme="minorBidi"/>
          <w:b w:val="1"/>
          <w:sz w:val="20"/>
          <w:lang w:val="ca-ES" w:eastAsia="ca-ES"/>
        </w:rPr>
        <w:t>Article 1</w:t>
      </w:r>
    </w:p>
    <w:p>
      <w:pPr>
        <w:rPr>
          <w:rFonts w:ascii="Arial" w:hAnsi="Arial" w:cstheme="minorBidi"/>
          <w:sz w:val="20"/>
          <w:lang w:val="ca-ES" w:eastAsia="ca-ES"/>
        </w:rPr>
      </w:pPr>
      <w:r>
        <w:rPr>
          <w:rFonts w:ascii="Arial" w:hAnsi="Arial" w:cstheme="minorBidi"/>
          <w:b w:val="1"/>
          <w:sz w:val="20"/>
          <w:lang w:val="ca-ES" w:eastAsia="ca-ES"/>
        </w:rPr>
        <w:t xml:space="preserve">Objecte i fonament </w:t>
      </w:r>
    </w:p>
    <w:p>
      <w:pPr>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De conformitat amb el que disposa l'article 41 del Reial decret legislatiu 2/2004 pel qual s’aprova el Text refós de la Llei reguladora de les hisendes locals, aquest Ajuntament acorda establir en aquest terme municipal el preu públic relatiu a les prestacions de serveis de l’escola infantil pública i altres serveis educatius de 0 a 3 anys.</w:t>
      </w:r>
    </w:p>
    <w:p>
      <w:pPr>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Serà aplicable a aquest preu públic la present Ordenança, de conformitat amb els articles 41 a 47 del Text refós de la Llei reguladora de les hisendes locals, aprovat pel Reial decret legislatiu 2/2004, de 5 de març</w:t>
      </w:r>
      <w:r>
        <w:rPr>
          <w:rFonts w:ascii="Arial" w:hAnsi="Arial" w:cstheme="minorBidi"/>
          <w:sz w:val="20"/>
          <w:lang w:val="es-ES" w:eastAsia="es-ES"/>
        </w:rPr>
        <w:t>.</w:t>
      </w:r>
    </w:p>
    <w:p>
      <w:pPr>
        <w:jc w:val="both"/>
        <w:rPr>
          <w:rFonts w:ascii="Arial" w:hAnsi="Arial" w:cstheme="minorBidi"/>
          <w:sz w:val="20"/>
          <w:lang w:val="ca-ES" w:eastAsia="ca-ES"/>
        </w:rPr>
      </w:pPr>
    </w:p>
    <w:p>
      <w:pPr>
        <w:rPr>
          <w:rFonts w:ascii="Arial" w:hAnsi="Arial" w:cstheme="minorBidi"/>
          <w:sz w:val="20"/>
          <w:lang w:val="ca-ES" w:eastAsia="ca-ES"/>
        </w:rPr>
      </w:pPr>
      <w:r>
        <w:rPr>
          <w:rFonts w:ascii="Arial" w:hAnsi="Arial" w:cstheme="minorBidi"/>
          <w:b w:val="1"/>
          <w:sz w:val="20"/>
          <w:lang w:val="ca-ES" w:eastAsia="ca-ES"/>
        </w:rPr>
        <w:t xml:space="preserve">Article 2 </w:t>
      </w:r>
    </w:p>
    <w:p>
      <w:pPr>
        <w:rPr>
          <w:rFonts w:ascii="Arial" w:hAnsi="Arial" w:cstheme="minorBidi"/>
          <w:sz w:val="20"/>
          <w:lang w:val="ca-ES" w:eastAsia="ca-ES"/>
        </w:rPr>
      </w:pPr>
      <w:r>
        <w:rPr>
          <w:rFonts w:ascii="Arial" w:hAnsi="Arial" w:cstheme="minorBidi"/>
          <w:b w:val="1"/>
          <w:sz w:val="20"/>
          <w:lang w:val="es-ES" w:eastAsia="es-ES"/>
        </w:rPr>
        <w:t>Persones o</w:t>
      </w:r>
      <w:r>
        <w:rPr>
          <w:rFonts w:ascii="Arial" w:hAnsi="Arial" w:cstheme="minorBidi"/>
          <w:b w:val="1"/>
          <w:sz w:val="20"/>
          <w:lang w:val="ca-ES" w:eastAsia="ca-ES"/>
        </w:rPr>
        <w:t>bliga</w:t>
      </w:r>
      <w:r>
        <w:rPr>
          <w:rFonts w:ascii="Arial" w:hAnsi="Arial" w:cstheme="minorBidi"/>
          <w:b w:val="1"/>
          <w:sz w:val="20"/>
          <w:lang w:val="es-ES" w:eastAsia="es-ES"/>
        </w:rPr>
        <w:t>de</w:t>
      </w:r>
      <w:r>
        <w:rPr>
          <w:rFonts w:ascii="Arial" w:hAnsi="Arial" w:cstheme="minorBidi"/>
          <w:b w:val="1"/>
          <w:sz w:val="20"/>
          <w:lang w:val="ca-ES" w:eastAsia="ca-ES"/>
        </w:rPr>
        <w:t>s al pagament</w:t>
      </w:r>
    </w:p>
    <w:p>
      <w:pPr>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Estan obligats al pagament de les quanties contingudes en aquesta normativa:</w:t>
      </w:r>
    </w:p>
    <w:p>
      <w:pPr>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i w:val="1"/>
          <w:sz w:val="20"/>
          <w:lang w:val="ca-ES" w:eastAsia="ca-ES"/>
        </w:rPr>
        <w:t xml:space="preserve">a) </w:t>
      </w:r>
      <w:r>
        <w:rPr>
          <w:rFonts w:ascii="Arial" w:hAnsi="Arial" w:cstheme="minorBidi"/>
          <w:sz w:val="20"/>
          <w:lang w:val="ca-ES" w:eastAsia="ca-ES"/>
        </w:rPr>
        <w:t>Els pares, les mares o qui ostenti la tutoria dels infants que es beneficiïn dels serveis educatius prestats per les escoles infantils públiques o altres serveis educatius de 0 a 3 anys.</w:t>
      </w:r>
    </w:p>
    <w:p>
      <w:pPr>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i w:val="1"/>
          <w:sz w:val="20"/>
          <w:lang w:val="ca-ES" w:eastAsia="ca-ES"/>
        </w:rPr>
        <w:t xml:space="preserve">b) </w:t>
      </w:r>
      <w:r>
        <w:rPr>
          <w:rFonts w:ascii="Arial" w:hAnsi="Arial" w:cstheme="minorBidi"/>
          <w:sz w:val="20"/>
          <w:lang w:val="ca-ES" w:eastAsia="ca-ES"/>
        </w:rPr>
        <w:t>O, si s'escau, qui pugui estar obligat al pagament dels aliments d'aquells conformement al que preveu el Codi civil.</w:t>
      </w:r>
    </w:p>
    <w:p>
      <w:pPr>
        <w:jc w:val="both"/>
        <w:rPr>
          <w:rFonts w:ascii="Arial" w:hAnsi="Arial" w:cstheme="minorBidi"/>
          <w:sz w:val="20"/>
          <w:lang w:val="ca-ES" w:eastAsia="ca-ES"/>
        </w:rPr>
      </w:pPr>
    </w:p>
    <w:p>
      <w:pPr>
        <w:rPr>
          <w:rFonts w:ascii="Arial" w:hAnsi="Arial" w:cstheme="minorBidi"/>
          <w:sz w:val="20"/>
          <w:lang w:val="ca-ES" w:eastAsia="ca-ES"/>
        </w:rPr>
      </w:pPr>
      <w:r>
        <w:rPr>
          <w:rFonts w:ascii="Arial" w:hAnsi="Arial" w:cstheme="minorBidi"/>
          <w:b w:val="1"/>
          <w:sz w:val="20"/>
          <w:lang w:val="ca-ES" w:eastAsia="ca-ES"/>
        </w:rPr>
        <w:t>Article 3</w:t>
      </w:r>
    </w:p>
    <w:p>
      <w:pPr>
        <w:rPr>
          <w:rFonts w:ascii="Arial" w:hAnsi="Arial" w:cstheme="minorBidi"/>
          <w:sz w:val="20"/>
          <w:lang w:val="ca-ES" w:eastAsia="ca-ES"/>
        </w:rPr>
      </w:pPr>
      <w:r>
        <w:rPr>
          <w:rFonts w:ascii="Arial" w:hAnsi="Arial" w:cstheme="minorBidi"/>
          <w:b w:val="1"/>
          <w:sz w:val="20"/>
          <w:lang w:val="ca-ES" w:eastAsia="ca-ES"/>
        </w:rPr>
        <w:t>Quantia de les diferents quotes</w:t>
      </w:r>
    </w:p>
    <w:p>
      <w:pPr>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La quantia a exigir per la prestació dels serveis es determinarà en funció de les tarifes següents, segons els serveis que s’utilitzin:</w:t>
      </w:r>
    </w:p>
    <w:p>
      <w:pPr>
        <w:rPr>
          <w:rFonts w:ascii="Arial" w:hAnsi="Arial" w:cstheme="minorBidi"/>
          <w:sz w:val="20"/>
          <w:lang w:val="ca-ES" w:eastAsia="ca-ES"/>
        </w:rPr>
      </w:pPr>
    </w:p>
    <w:p>
      <w:pPr>
        <w:rPr>
          <w:rFonts w:ascii="Arial" w:hAnsi="Arial" w:cstheme="minorBidi"/>
          <w:sz w:val="20"/>
          <w:lang w:val="ca-ES" w:eastAsia="ca-ES"/>
        </w:rPr>
      </w:pPr>
      <w:r>
        <w:rPr>
          <w:rFonts w:ascii="Arial" w:hAnsi="Arial" w:cstheme="minorBidi"/>
          <w:b w:val="1"/>
          <w:i w:val="1"/>
          <w:sz w:val="20"/>
          <w:lang w:val="ca-ES" w:eastAsia="ca-ES"/>
        </w:rPr>
        <w:t xml:space="preserve">a) </w:t>
      </w:r>
      <w:r>
        <w:rPr>
          <w:rFonts w:ascii="Arial" w:hAnsi="Arial" w:cstheme="minorBidi"/>
          <w:b w:val="1"/>
          <w:sz w:val="20"/>
          <w:lang w:val="ca-ES" w:eastAsia="ca-ES"/>
        </w:rPr>
        <w:t xml:space="preserve">Servei d’escolarització bàsica (de 8.00 a 14.00 h) </w:t>
      </w:r>
    </w:p>
    <w:p>
      <w:pPr>
        <w:rPr>
          <w:rFonts w:ascii="Arial" w:hAnsi="Arial" w:cstheme="minorBidi"/>
          <w:sz w:val="20"/>
          <w:lang w:val="ca-ES" w:eastAsia="ca-ES"/>
        </w:rPr>
      </w:pPr>
    </w:p>
    <w:p>
      <w:pPr>
        <w:rPr>
          <w:rFonts w:ascii="Arial" w:hAnsi="Arial" w:cstheme="minorBidi"/>
          <w:sz w:val="20"/>
          <w:lang w:val="ca-ES" w:eastAsia="ca-ES"/>
        </w:rPr>
      </w:pPr>
      <w:r>
        <w:rPr>
          <w:rFonts w:ascii="Arial" w:hAnsi="Arial" w:cstheme="minorBidi"/>
          <w:b w:val="1"/>
          <w:sz w:val="20"/>
          <w:lang w:val="ca-ES" w:eastAsia="ca-ES"/>
        </w:rPr>
        <w:t>Per a primer d’educació infantil (1r EI):</w:t>
      </w:r>
    </w:p>
    <w:p>
      <w:pPr>
        <w:rPr>
          <w:rFonts w:ascii="Arial" w:hAnsi="Arial" w:cstheme="minorBidi"/>
          <w:sz w:val="20"/>
          <w:lang w:val="ca-ES" w:eastAsia="ca-ES"/>
        </w:rPr>
      </w:pPr>
    </w:p>
    <w:p>
      <w:pPr>
        <w:rPr>
          <w:rFonts w:ascii="Arial" w:hAnsi="Arial" w:cstheme="minorBidi"/>
          <w:sz w:val="20"/>
          <w:lang w:val="ca-ES" w:eastAsia="ca-ES"/>
        </w:rPr>
      </w:pPr>
      <w:r>
        <w:rPr>
          <w:rFonts w:ascii="Arial" w:hAnsi="Arial" w:cstheme="minorBidi"/>
          <w:sz w:val="20"/>
          <w:lang w:val="ca-ES" w:eastAsia="ca-ES"/>
        </w:rPr>
        <w:t>a. Quota inicial del curs per a material ……………............….............………….........................</w:t>
      </w:r>
      <w:r>
        <w:rPr>
          <w:rFonts w:ascii="Arial" w:hAnsi="Arial" w:cstheme="minorBidi"/>
          <w:sz w:val="20"/>
          <w:lang w:val="es-ES" w:eastAsia="es-ES"/>
        </w:rPr>
        <w:t>10</w:t>
      </w:r>
      <w:r>
        <w:rPr>
          <w:rFonts w:ascii="Arial" w:hAnsi="Arial" w:cstheme="minorBidi"/>
          <w:sz w:val="20"/>
          <w:lang w:val="ca-ES" w:eastAsia="ca-ES"/>
        </w:rPr>
        <w:t>0 €</w:t>
      </w:r>
    </w:p>
    <w:p>
      <w:pPr>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b. Les quotes mensuals</w:t>
      </w:r>
      <w:r>
        <w:rPr>
          <w:rFonts w:ascii="Arial" w:hAnsi="Arial" w:cstheme="minorBidi"/>
          <w:sz w:val="20"/>
          <w:lang w:val="es-ES" w:eastAsia="es-ES"/>
        </w:rPr>
        <w:t xml:space="preserve"> (10)</w:t>
      </w:r>
      <w:r>
        <w:rPr>
          <w:rFonts w:ascii="Arial" w:hAnsi="Arial" w:cstheme="minorBidi"/>
          <w:sz w:val="20"/>
          <w:lang w:val="ca-ES" w:eastAsia="ca-ES"/>
        </w:rPr>
        <w:t xml:space="preserve"> quedaran suspeses mentre es mantenguin els convenis </w:t>
      </w:r>
      <w:r>
        <w:rPr>
          <w:rFonts w:ascii="Arial" w:hAnsi="Arial" w:cstheme="minorBidi"/>
          <w:sz w:val="20"/>
          <w:lang w:val="es-ES" w:eastAsia="es-ES"/>
        </w:rPr>
        <w:t>de</w:t>
      </w:r>
      <w:r>
        <w:rPr>
          <w:rFonts w:ascii="Arial" w:hAnsi="Arial" w:cstheme="minorBidi"/>
          <w:sz w:val="20"/>
          <w:lang w:val="ca-ES" w:eastAsia="ca-ES"/>
        </w:rPr>
        <w:t xml:space="preserve"> la gratuïtat d'aquest nivell amb les conselleries d'Educació, tant del Govern de les Illes Balears (GOIB) com del Consell Insular de Menorca (CIM)</w:t>
      </w:r>
      <w:r>
        <w:rPr>
          <w:rFonts w:ascii="Arial" w:hAnsi="Arial" w:cstheme="minorBidi"/>
          <w:sz w:val="20"/>
          <w:lang w:val="es-ES" w:eastAsia="es-ES"/>
        </w:rPr>
        <w:t>.</w:t>
      </w:r>
    </w:p>
    <w:p>
      <w:pPr>
        <w:rPr>
          <w:rFonts w:ascii="Arial" w:hAnsi="Arial" w:cstheme="minorBidi"/>
          <w:sz w:val="20"/>
          <w:lang w:val="ca-ES" w:eastAsia="ca-ES"/>
        </w:rPr>
      </w:pPr>
    </w:p>
    <w:tbl>
      <w:tblPr>
        <w:tblW w:w="0" w:type="auto"/>
        <w:tblInd w:w="340" w:type="dxa"/>
        <w:tblLayout w:type="fixed"/>
        <w:tblCellMar>
          <w:left w:w="0" w:type="dxa"/>
          <w:right w:w="0" w:type="dxa"/>
        </w:tblCellMar>
      </w:tblPr>
      <w:tblGrid/>
      <w:tr>
        <w:tc>
          <w:tcPr>
            <w:tcW w:w="6177"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widowControl w:val="0"/>
              <w:jc w:val="center"/>
              <w:rPr>
                <w:rFonts w:ascii="Arial" w:hAnsi="Arial" w:cstheme="minorBidi"/>
                <w:sz w:val="20"/>
                <w:lang w:val="ca-ES" w:eastAsia="ca-ES"/>
              </w:rPr>
            </w:pPr>
            <w:r>
              <w:rPr>
                <w:rFonts w:ascii="Arial" w:hAnsi="Arial" w:cstheme="minorBidi"/>
                <w:i w:val="1"/>
                <w:sz w:val="20"/>
                <w:lang w:val="ca-ES" w:eastAsia="ca-ES"/>
              </w:rPr>
              <w:t>Horari</w:t>
            </w:r>
          </w:p>
        </w:tc>
        <w:tc>
          <w:tcPr>
            <w:tcW w:w="3461"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widowControl w:val="0"/>
              <w:jc w:val="center"/>
              <w:rPr>
                <w:rFonts w:ascii="Arial" w:hAnsi="Arial" w:cstheme="minorBidi"/>
                <w:sz w:val="20"/>
                <w:lang w:val="ca-ES" w:eastAsia="ca-ES"/>
              </w:rPr>
            </w:pPr>
            <w:r>
              <w:rPr>
                <w:rFonts w:ascii="Arial" w:hAnsi="Arial" w:cstheme="minorBidi"/>
                <w:i w:val="1"/>
                <w:sz w:val="20"/>
                <w:lang w:val="ca-ES" w:eastAsia="ca-ES"/>
              </w:rPr>
              <w:t>Quota</w:t>
            </w:r>
          </w:p>
        </w:tc>
      </w:tr>
      <w:tr>
        <w:tc>
          <w:tcPr>
            <w:tcW w:w="6177"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widowControl w:val="0"/>
              <w:rPr>
                <w:rFonts w:ascii="Arial" w:hAnsi="Arial" w:cstheme="minorBidi"/>
                <w:sz w:val="20"/>
                <w:lang w:val="ca-ES" w:eastAsia="ca-ES"/>
              </w:rPr>
            </w:pPr>
            <w:r>
              <w:rPr>
                <w:rFonts w:ascii="Arial" w:hAnsi="Arial" w:cstheme="minorBidi"/>
                <w:sz w:val="20"/>
                <w:lang w:val="ca-ES" w:eastAsia="ca-ES"/>
              </w:rPr>
              <w:t>De 8.00 h a 14.00 h (*)</w:t>
            </w:r>
          </w:p>
          <w:p>
            <w:pPr>
              <w:widowControl w:val="0"/>
              <w:rPr>
                <w:rFonts w:ascii="Arial" w:hAnsi="Arial" w:cstheme="minorBidi"/>
                <w:sz w:val="20"/>
                <w:lang w:val="ca-ES" w:eastAsia="ca-ES"/>
              </w:rPr>
            </w:pPr>
            <w:r>
              <w:rPr>
                <w:rFonts w:ascii="Arial" w:hAnsi="Arial" w:cstheme="minorBidi"/>
                <w:sz w:val="20"/>
                <w:lang w:val="ca-ES" w:eastAsia="ca-ES"/>
              </w:rPr>
              <w:t xml:space="preserve">De setembre a </w:t>
            </w:r>
            <w:r>
              <w:rPr>
                <w:rFonts w:ascii="Arial" w:hAnsi="Arial" w:cstheme="minorBidi"/>
                <w:sz w:val="20"/>
                <w:lang w:val="es-ES" w:eastAsia="es-ES"/>
              </w:rPr>
              <w:t>juny</w:t>
            </w:r>
          </w:p>
        </w:tc>
        <w:tc>
          <w:tcPr>
            <w:tcW w:w="3461"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widowControl w:val="0"/>
              <w:rPr>
                <w:rFonts w:ascii="Arial" w:hAnsi="Arial" w:cstheme="minorBidi"/>
                <w:sz w:val="20"/>
                <w:lang w:val="ca-ES" w:eastAsia="ca-ES"/>
              </w:rPr>
            </w:pPr>
          </w:p>
          <w:p>
            <w:pPr>
              <w:widowControl w:val="0"/>
              <w:jc w:val="center"/>
              <w:rPr>
                <w:rFonts w:ascii="Arial" w:hAnsi="Arial" w:cstheme="minorBidi"/>
                <w:sz w:val="20"/>
                <w:lang w:val="ca-ES" w:eastAsia="ca-ES"/>
              </w:rPr>
            </w:pPr>
            <w:r>
              <w:rPr>
                <w:rFonts w:ascii="Arial" w:hAnsi="Arial" w:cstheme="minorBidi"/>
                <w:sz w:val="20"/>
                <w:lang w:val="ca-ES" w:eastAsia="ca-ES"/>
              </w:rPr>
              <w:t>2</w:t>
            </w:r>
            <w:r>
              <w:rPr>
                <w:rFonts w:ascii="Arial" w:hAnsi="Arial" w:cstheme="minorBidi"/>
                <w:sz w:val="20"/>
                <w:lang w:val="es-ES" w:eastAsia="es-ES"/>
              </w:rPr>
              <w:t>3</w:t>
            </w:r>
            <w:r>
              <w:rPr>
                <w:rFonts w:ascii="Arial" w:hAnsi="Arial" w:cstheme="minorBidi"/>
                <w:sz w:val="20"/>
                <w:lang w:val="ca-ES" w:eastAsia="ca-ES"/>
              </w:rPr>
              <w:t>0,00 €</w:t>
            </w:r>
          </w:p>
        </w:tc>
      </w:tr>
    </w:tbl>
    <w:p>
      <w:pPr>
        <w:jc w:val="both"/>
        <w:rPr>
          <w:rFonts w:ascii="Arial" w:hAnsi="Arial" w:cstheme="minorBidi"/>
          <w:sz w:val="20"/>
          <w:lang w:val="es-ES" w:eastAsia="es-ES"/>
        </w:rPr>
      </w:pPr>
    </w:p>
    <w:p>
      <w:pPr>
        <w:jc w:val="both"/>
        <w:rPr>
          <w:rFonts w:ascii="Arial" w:hAnsi="Arial" w:cstheme="minorBidi"/>
          <w:sz w:val="20"/>
          <w:lang w:val="es-ES" w:eastAsia="es-ES"/>
        </w:rPr>
      </w:pPr>
      <w:r>
        <w:rPr>
          <w:rFonts w:ascii="Arial" w:hAnsi="Arial" w:cstheme="minorBidi"/>
          <w:sz w:val="20"/>
          <w:lang w:val="es-ES" w:eastAsia="es-ES"/>
        </w:rPr>
        <w:t>c. Si bé el calendari lectiu s’ajusta al calendari que anualment estableix la Conselleria d’Educació, l'Ajuntament ofereix també el servei d'escoleta la resta del mes de juny que queda fora del calendari lectiu establert per la Conselleria d’Educació, amb activitats sense</w:t>
      </w:r>
      <w:r>
        <w:rPr>
          <w:rFonts w:ascii="Arial" w:hAnsi="Arial" w:cstheme="minorBidi"/>
          <w:sz w:val="20"/>
          <w:shd w:val="clear" w:color="auto" w:fill="FFFFFF"/>
          <w:lang w:val="es-ES" w:eastAsia="es-ES"/>
        </w:rPr>
        <w:t xml:space="preserve"> contingut curricular.</w:t>
      </w:r>
    </w:p>
    <w:p>
      <w:pPr>
        <w:rPr>
          <w:rFonts w:ascii="Arial" w:hAnsi="Arial" w:cstheme="minorBidi"/>
          <w:b w:val="1"/>
          <w:sz w:val="20"/>
          <w:lang w:val="ca-ES" w:eastAsia="ca-ES"/>
        </w:rPr>
      </w:pPr>
    </w:p>
    <w:p>
      <w:pPr>
        <w:rPr>
          <w:rFonts w:ascii="Arial" w:hAnsi="Arial" w:cstheme="minorBidi"/>
          <w:sz w:val="20"/>
          <w:lang w:val="ca-ES" w:eastAsia="ca-ES"/>
        </w:rPr>
      </w:pPr>
      <w:r>
        <w:rPr>
          <w:rFonts w:ascii="Arial" w:hAnsi="Arial" w:cstheme="minorBidi"/>
          <w:b w:val="1"/>
          <w:sz w:val="20"/>
          <w:lang w:val="ca-ES" w:eastAsia="ca-ES"/>
        </w:rPr>
        <w:t>Per a segon i tercer d’educació infantil (2n i 3r):</w:t>
      </w:r>
    </w:p>
    <w:p>
      <w:pPr>
        <w:rPr>
          <w:rFonts w:ascii="Arial" w:hAnsi="Arial" w:cstheme="minorBidi"/>
          <w:sz w:val="20"/>
          <w:lang w:val="ca-ES" w:eastAsia="ca-ES"/>
        </w:rPr>
      </w:pPr>
    </w:p>
    <w:p>
      <w:pPr>
        <w:rPr>
          <w:rFonts w:ascii="Arial" w:hAnsi="Arial" w:cstheme="minorBidi"/>
          <w:sz w:val="20"/>
          <w:lang w:val="ca-ES" w:eastAsia="ca-ES"/>
        </w:rPr>
      </w:pPr>
      <w:r>
        <w:rPr>
          <w:rFonts w:ascii="Arial" w:hAnsi="Arial" w:cstheme="minorBidi"/>
          <w:sz w:val="20"/>
          <w:lang w:val="ca-ES" w:eastAsia="ca-ES"/>
        </w:rPr>
        <w:t>a. Quota inicial del curs per a material ………………................………………...........................</w:t>
      </w:r>
      <w:r>
        <w:rPr>
          <w:rFonts w:ascii="Arial" w:hAnsi="Arial" w:cstheme="minorBidi"/>
          <w:sz w:val="20"/>
          <w:lang w:val="es-ES" w:eastAsia="es-ES"/>
        </w:rPr>
        <w:t>100</w:t>
      </w:r>
      <w:r>
        <w:rPr>
          <w:rFonts w:ascii="Arial" w:hAnsi="Arial" w:cstheme="minorBidi"/>
          <w:sz w:val="20"/>
          <w:lang w:val="ca-ES" w:eastAsia="ca-ES"/>
        </w:rPr>
        <w:t xml:space="preserve"> €</w:t>
      </w:r>
    </w:p>
    <w:p>
      <w:pPr>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b. Les quotes mensuals</w:t>
      </w:r>
      <w:r>
        <w:rPr>
          <w:rFonts w:ascii="Arial" w:hAnsi="Arial" w:cstheme="minorBidi"/>
          <w:sz w:val="20"/>
          <w:lang w:val="es-ES" w:eastAsia="es-ES"/>
        </w:rPr>
        <w:t xml:space="preserve"> (10)</w:t>
      </w:r>
      <w:r>
        <w:rPr>
          <w:rFonts w:ascii="Arial" w:hAnsi="Arial" w:cstheme="minorBidi"/>
          <w:sz w:val="20"/>
          <w:lang w:val="ca-ES" w:eastAsia="ca-ES"/>
        </w:rPr>
        <w:t xml:space="preserve"> quedaran suspeses mentre es mantenguin els convenis </w:t>
      </w:r>
      <w:r>
        <w:rPr>
          <w:rFonts w:ascii="Arial" w:hAnsi="Arial" w:cstheme="minorBidi"/>
          <w:sz w:val="20"/>
          <w:lang w:val="es-ES" w:eastAsia="es-ES"/>
        </w:rPr>
        <w:t>de</w:t>
      </w:r>
      <w:r>
        <w:rPr>
          <w:rFonts w:ascii="Arial" w:hAnsi="Arial" w:cstheme="minorBidi"/>
          <w:sz w:val="20"/>
          <w:lang w:val="ca-ES" w:eastAsia="ca-ES"/>
        </w:rPr>
        <w:t xml:space="preserve"> la gratuïtat d'aquest nivell amb les conselleries d'Educació, tant del Govern de les Illes Balears (GOIB) com del Consell Insular de Menorca (CIM)</w:t>
      </w:r>
      <w:r>
        <w:rPr>
          <w:rFonts w:ascii="Arial" w:hAnsi="Arial" w:cstheme="minorBidi"/>
          <w:sz w:val="20"/>
          <w:lang w:val="es-ES" w:eastAsia="es-ES"/>
        </w:rPr>
        <w:t>.</w:t>
      </w:r>
    </w:p>
    <w:p>
      <w:pPr>
        <w:rPr>
          <w:rFonts w:ascii="Arial" w:hAnsi="Arial" w:cstheme="minorBidi"/>
          <w:sz w:val="20"/>
          <w:lang w:val="ca-ES" w:eastAsia="ca-ES"/>
        </w:rPr>
      </w:pPr>
    </w:p>
    <w:tbl>
      <w:tblPr>
        <w:tblW w:w="0" w:type="auto"/>
        <w:tblInd w:w="370" w:type="dxa"/>
        <w:tblLayout w:type="fixed"/>
        <w:tblCellMar>
          <w:left w:w="0" w:type="dxa"/>
          <w:right w:w="0" w:type="dxa"/>
        </w:tblCellMar>
      </w:tblPr>
      <w:tblGrid/>
      <w:tr>
        <w:tc>
          <w:tcPr>
            <w:tcW w:w="6029" w:type="dxa"/>
            <w:tcBorders>
              <w:top w:val="thickThinSmallGap" w:sz="2" w:space="0" w:shadow="0" w:frame="0" w:color="000000"/>
              <w:left w:val="thickThinSmallGap" w:sz="2" w:space="0" w:shadow="0" w:frame="0" w:color="000000"/>
              <w:bottom w:val="thickThinSmallGap" w:sz="2" w:space="0" w:shadow="0" w:frame="0" w:color="000000"/>
            </w:tcBorders>
            <w:tcMar>
              <w:top w:w="100" w:type="dxa"/>
              <w:left w:w="100" w:type="dxa"/>
              <w:bottom w:w="100" w:type="dxa"/>
              <w:right w:w="100" w:type="dxa"/>
            </w:tcMar>
          </w:tcPr>
          <w:p>
            <w:pPr>
              <w:widowControl w:val="0"/>
              <w:rPr>
                <w:rFonts w:ascii="Arial" w:hAnsi="Arial" w:cstheme="minorBidi"/>
                <w:sz w:val="20"/>
                <w:lang w:val="ca-ES" w:eastAsia="ca-ES"/>
              </w:rPr>
            </w:pPr>
            <w:r>
              <w:rPr>
                <w:rFonts w:ascii="Arial" w:hAnsi="Arial" w:cstheme="minorBidi"/>
                <w:i w:val="1"/>
                <w:sz w:val="20"/>
                <w:lang w:val="ca-ES" w:eastAsia="ca-ES"/>
              </w:rPr>
              <w:t>Horari</w:t>
            </w:r>
          </w:p>
        </w:tc>
        <w:tc>
          <w:tcPr>
            <w:tcW w:w="3609" w:type="dxa"/>
            <w:tcBorders>
              <w:top w:val="thickThinSmallGap" w:sz="2" w:space="0" w:shadow="0" w:frame="0" w:color="000000"/>
              <w:left w:val="thickThinSmallGap" w:sz="2" w:space="0" w:shadow="0" w:frame="0" w:color="000000"/>
              <w:bottom w:val="thickThinSmallGap" w:sz="2" w:space="0" w:shadow="0" w:frame="0" w:color="000000"/>
              <w:right w:val="thickThinSmallGap" w:sz="2" w:space="0" w:shadow="0" w:frame="0" w:color="000000"/>
            </w:tcBorders>
            <w:tcMar>
              <w:top w:w="100" w:type="dxa"/>
              <w:left w:w="100" w:type="dxa"/>
              <w:bottom w:w="100" w:type="dxa"/>
              <w:right w:w="100" w:type="dxa"/>
            </w:tcMar>
          </w:tcPr>
          <w:p>
            <w:pPr>
              <w:widowControl w:val="0"/>
              <w:jc w:val="center"/>
              <w:rPr>
                <w:rFonts w:ascii="Arial" w:hAnsi="Arial" w:cstheme="minorBidi"/>
                <w:sz w:val="20"/>
                <w:lang w:val="ca-ES" w:eastAsia="ca-ES"/>
              </w:rPr>
            </w:pPr>
            <w:r>
              <w:rPr>
                <w:rFonts w:ascii="Arial" w:hAnsi="Arial" w:cstheme="minorBidi"/>
                <w:i w:val="1"/>
                <w:sz w:val="20"/>
                <w:lang w:val="ca-ES" w:eastAsia="ca-ES"/>
              </w:rPr>
              <w:t>Quota</w:t>
            </w:r>
          </w:p>
        </w:tc>
      </w:tr>
      <w:tr>
        <w:tc>
          <w:tcPr>
            <w:tcW w:w="6029" w:type="dxa"/>
            <w:tcBorders>
              <w:left w:val="thickThinSmallGap" w:sz="2" w:space="0" w:shadow="0" w:frame="0" w:color="000000"/>
              <w:bottom w:val="thickThinSmallGap" w:sz="2" w:space="0" w:shadow="0" w:frame="0" w:color="000000"/>
            </w:tcBorders>
            <w:tcMar>
              <w:top w:w="100" w:type="dxa"/>
              <w:left w:w="100" w:type="dxa"/>
              <w:bottom w:w="100" w:type="dxa"/>
              <w:right w:w="100" w:type="dxa"/>
            </w:tcMar>
          </w:tcPr>
          <w:p>
            <w:pPr>
              <w:widowControl w:val="0"/>
              <w:rPr>
                <w:rFonts w:ascii="Arial" w:hAnsi="Arial" w:cstheme="minorBidi"/>
                <w:sz w:val="20"/>
                <w:lang w:val="ca-ES" w:eastAsia="ca-ES"/>
              </w:rPr>
            </w:pPr>
            <w:r>
              <w:rPr>
                <w:rFonts w:ascii="Arial" w:hAnsi="Arial" w:cstheme="minorBidi"/>
                <w:sz w:val="20"/>
                <w:lang w:val="ca-ES" w:eastAsia="ca-ES"/>
              </w:rPr>
              <w:t>De 8.00 h a 14.00 h (*)</w:t>
            </w:r>
          </w:p>
          <w:p>
            <w:pPr>
              <w:widowControl w:val="0"/>
              <w:rPr>
                <w:rFonts w:ascii="Arial" w:hAnsi="Arial" w:cstheme="minorBidi"/>
                <w:sz w:val="20"/>
                <w:lang w:val="ca-ES" w:eastAsia="ca-ES"/>
              </w:rPr>
            </w:pPr>
            <w:r>
              <w:rPr>
                <w:rFonts w:ascii="Arial" w:hAnsi="Arial" w:cstheme="minorBidi"/>
                <w:sz w:val="20"/>
                <w:lang w:val="ca-ES" w:eastAsia="ca-ES"/>
              </w:rPr>
              <w:t xml:space="preserve">De setembre a </w:t>
            </w:r>
            <w:r>
              <w:rPr>
                <w:rFonts w:ascii="Arial" w:hAnsi="Arial" w:cstheme="minorBidi"/>
                <w:sz w:val="20"/>
                <w:lang w:val="es-ES" w:eastAsia="es-ES"/>
              </w:rPr>
              <w:t>juny</w:t>
            </w:r>
          </w:p>
        </w:tc>
        <w:tc>
          <w:tcPr>
            <w:tcW w:w="3609" w:type="dxa"/>
            <w:tcBorders>
              <w:left w:val="thickThinSmallGap" w:sz="2" w:space="0" w:shadow="0" w:frame="0" w:color="000000"/>
              <w:bottom w:val="thickThinSmallGap" w:sz="2" w:space="0" w:shadow="0" w:frame="0" w:color="000000"/>
              <w:right w:val="thickThinSmallGap" w:sz="2" w:space="0" w:shadow="0" w:frame="0" w:color="000000"/>
            </w:tcBorders>
            <w:tcMar>
              <w:top w:w="100" w:type="dxa"/>
              <w:left w:w="100" w:type="dxa"/>
              <w:bottom w:w="100" w:type="dxa"/>
              <w:right w:w="100" w:type="dxa"/>
            </w:tcMar>
          </w:tcPr>
          <w:p>
            <w:pPr>
              <w:widowControl w:val="0"/>
              <w:jc w:val="center"/>
              <w:rPr>
                <w:rFonts w:ascii="Arial" w:hAnsi="Arial" w:cstheme="minorBidi"/>
                <w:sz w:val="20"/>
                <w:lang w:val="ca-ES" w:eastAsia="ca-ES"/>
              </w:rPr>
            </w:pPr>
          </w:p>
          <w:p>
            <w:pPr>
              <w:widowControl w:val="0"/>
              <w:jc w:val="center"/>
              <w:rPr>
                <w:rFonts w:ascii="Arial" w:hAnsi="Arial" w:cstheme="minorBidi"/>
                <w:sz w:val="20"/>
                <w:lang w:val="ca-ES" w:eastAsia="ca-ES"/>
              </w:rPr>
            </w:pPr>
            <w:r>
              <w:rPr>
                <w:rFonts w:ascii="Arial" w:hAnsi="Arial" w:cstheme="minorBidi"/>
                <w:sz w:val="20"/>
                <w:lang w:val="es-ES" w:eastAsia="es-ES"/>
              </w:rPr>
              <w:t>200,00</w:t>
            </w:r>
            <w:r>
              <w:rPr>
                <w:rFonts w:ascii="Arial" w:hAnsi="Arial" w:cstheme="minorBidi"/>
                <w:sz w:val="20"/>
                <w:lang w:val="ca-ES" w:eastAsia="ca-ES"/>
              </w:rPr>
              <w:t xml:space="preserve"> €</w:t>
            </w:r>
          </w:p>
        </w:tc>
      </w:tr>
    </w:tbl>
    <w:p>
      <w:pPr>
        <w:rPr>
          <w:rFonts w:ascii="Arial" w:hAnsi="Arial" w:cstheme="minorBidi"/>
          <w:i w:val="1"/>
          <w:sz w:val="20"/>
          <w:lang w:val="ca-ES" w:eastAsia="ca-ES"/>
        </w:rPr>
      </w:pPr>
    </w:p>
    <w:p>
      <w:pPr>
        <w:rPr>
          <w:rFonts w:ascii="Arial" w:hAnsi="Arial" w:cstheme="minorBidi"/>
          <w:sz w:val="20"/>
          <w:lang w:val="ca-ES" w:eastAsia="ca-ES"/>
        </w:rPr>
      </w:pPr>
      <w:r>
        <w:rPr>
          <w:rFonts w:ascii="Arial" w:hAnsi="Arial" w:cstheme="minorBidi"/>
          <w:i w:val="1"/>
          <w:sz w:val="20"/>
          <w:lang w:val="ca-ES" w:eastAsia="ca-ES"/>
        </w:rPr>
        <w:t>(*) L’horari d’acollida és de 8.00 h a 9.00 h i el de recollida de 13.00 h a 14.00 h</w:t>
      </w:r>
    </w:p>
    <w:p>
      <w:pPr>
        <w:rPr>
          <w:rFonts w:ascii="Arial" w:hAnsi="Arial" w:cstheme="minorBidi"/>
          <w:i w:val="1"/>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c. Si bé el calendari lectiu s’ajusta al calendari que anualment estableix la Conselleria d’Educació, l'Ajuntament ofereix també el servei d'escoleta la resta del mes de juny que queda fora del calendari lectiu establert per la Conselleria d’Educació, am</w:t>
      </w:r>
      <w:r>
        <w:rPr>
          <w:rFonts w:ascii="Arial" w:hAnsi="Arial" w:cstheme="minorBidi"/>
          <w:sz w:val="20"/>
          <w:shd w:val="clear" w:color="auto" w:fill="FFFFFF"/>
          <w:lang w:val="ca-ES" w:eastAsia="ca-ES"/>
        </w:rPr>
        <w:t>b activitats sense contingut curricular.</w:t>
      </w:r>
    </w:p>
    <w:p>
      <w:pPr>
        <w:rPr>
          <w:rFonts w:ascii="Arial" w:hAnsi="Arial" w:cstheme="minorBidi"/>
          <w:sz w:val="20"/>
          <w:lang w:val="ca-ES" w:eastAsia="ca-ES"/>
        </w:rPr>
      </w:pPr>
    </w:p>
    <w:p>
      <w:pPr>
        <w:rPr>
          <w:rFonts w:ascii="Arial" w:hAnsi="Arial" w:cstheme="minorBidi"/>
          <w:sz w:val="20"/>
          <w:lang w:val="ca-ES" w:eastAsia="ca-ES"/>
        </w:rPr>
      </w:pPr>
      <w:r>
        <w:rPr>
          <w:rFonts w:ascii="Arial" w:hAnsi="Arial" w:cstheme="minorBidi"/>
          <w:b w:val="1"/>
          <w:i w:val="1"/>
          <w:sz w:val="20"/>
          <w:lang w:val="ca-ES" w:eastAsia="ca-ES"/>
        </w:rPr>
        <w:t>b)</w:t>
      </w:r>
      <w:r>
        <w:rPr>
          <w:rFonts w:ascii="Arial" w:hAnsi="Arial" w:cstheme="minorBidi"/>
          <w:b w:val="1"/>
          <w:sz w:val="20"/>
          <w:lang w:val="ca-ES" w:eastAsia="ca-ES"/>
        </w:rPr>
        <w:t xml:space="preserve"> Programes d’acompanyament familiar</w:t>
      </w:r>
    </w:p>
    <w:p>
      <w:pPr>
        <w:rPr>
          <w:rFonts w:ascii="Arial" w:hAnsi="Arial" w:cstheme="minorBidi"/>
          <w:sz w:val="20"/>
          <w:lang w:val="ca-ES" w:eastAsia="ca-ES"/>
        </w:rPr>
      </w:pPr>
    </w:p>
    <w:p>
      <w:pPr>
        <w:rPr>
          <w:rFonts w:ascii="Arial" w:hAnsi="Arial" w:cstheme="minorBidi"/>
          <w:sz w:val="20"/>
          <w:lang w:val="ca-ES" w:eastAsia="ca-ES"/>
        </w:rPr>
      </w:pPr>
      <w:r>
        <w:rPr>
          <w:rFonts w:ascii="Arial" w:hAnsi="Arial" w:cstheme="minorBidi"/>
          <w:sz w:val="20"/>
          <w:lang w:val="ca-ES" w:eastAsia="ca-ES"/>
        </w:rPr>
        <w:t>a. Espais Familiars:</w:t>
      </w:r>
    </w:p>
    <w:p>
      <w:pPr>
        <w:rPr>
          <w:rFonts w:ascii="Arial" w:hAnsi="Arial" w:cstheme="minorBidi"/>
          <w:sz w:val="20"/>
          <w:lang w:val="ca-ES" w:eastAsia="ca-ES"/>
        </w:rPr>
      </w:pPr>
      <w:r>
        <w:rPr>
          <w:rFonts w:ascii="Arial" w:hAnsi="Arial" w:cstheme="minorBidi"/>
          <w:sz w:val="20"/>
          <w:lang w:val="ca-ES" w:eastAsia="ca-ES"/>
        </w:rPr>
        <w:t>Quota mensual d'activitats d’infància i família 2 h/setmana .....................................................18 €</w:t>
      </w:r>
    </w:p>
    <w:p>
      <w:pPr>
        <w:ind w:left="720"/>
        <w:rPr>
          <w:rFonts w:ascii="Arial" w:hAnsi="Arial" w:cstheme="minorBidi"/>
          <w:sz w:val="20"/>
          <w:lang w:val="ca-ES" w:eastAsia="ca-ES"/>
        </w:rPr>
      </w:pPr>
    </w:p>
    <w:p>
      <w:pPr>
        <w:rPr>
          <w:rFonts w:ascii="Arial" w:hAnsi="Arial" w:cstheme="minorBidi"/>
          <w:sz w:val="20"/>
          <w:lang w:val="ca-ES" w:eastAsia="ca-ES"/>
        </w:rPr>
      </w:pPr>
      <w:r>
        <w:rPr>
          <w:rFonts w:ascii="Arial" w:hAnsi="Arial" w:cstheme="minorBidi"/>
          <w:sz w:val="20"/>
          <w:lang w:val="ca-ES" w:eastAsia="ca-ES"/>
        </w:rPr>
        <w:t>b. Cursos de massatges:</w:t>
      </w:r>
    </w:p>
    <w:p>
      <w:pPr>
        <w:rPr>
          <w:rFonts w:ascii="Arial" w:hAnsi="Arial" w:cstheme="minorBidi"/>
          <w:sz w:val="20"/>
          <w:lang w:val="ca-ES" w:eastAsia="ca-ES"/>
        </w:rPr>
      </w:pPr>
      <w:r>
        <w:rPr>
          <w:rFonts w:ascii="Arial" w:hAnsi="Arial" w:cstheme="minorBidi"/>
          <w:sz w:val="20"/>
          <w:lang w:val="ca-ES" w:eastAsia="ca-ES"/>
        </w:rPr>
        <w:t>Quota cursos de massatges.......................................................................................................18 €</w:t>
      </w:r>
    </w:p>
    <w:p>
      <w:pPr>
        <w:rPr>
          <w:rFonts w:ascii="Arial" w:hAnsi="Arial" w:cstheme="minorBidi"/>
          <w:sz w:val="20"/>
          <w:lang w:val="ca-ES" w:eastAsia="ca-ES"/>
        </w:rPr>
      </w:pPr>
    </w:p>
    <w:p>
      <w:pPr>
        <w:rPr>
          <w:rFonts w:ascii="Arial" w:hAnsi="Arial" w:cstheme="minorBidi"/>
          <w:sz w:val="20"/>
          <w:lang w:val="ca-ES" w:eastAsia="ca-ES"/>
        </w:rPr>
      </w:pPr>
      <w:r>
        <w:rPr>
          <w:rFonts w:ascii="Arial" w:hAnsi="Arial" w:cstheme="minorBidi"/>
          <w:b w:val="1"/>
          <w:i w:val="1"/>
          <w:sz w:val="20"/>
          <w:lang w:val="ca-ES" w:eastAsia="ca-ES"/>
        </w:rPr>
        <w:t>c)</w:t>
      </w:r>
      <w:r>
        <w:rPr>
          <w:rFonts w:ascii="Arial" w:hAnsi="Arial" w:cstheme="minorBidi"/>
          <w:b w:val="1"/>
          <w:sz w:val="20"/>
          <w:lang w:val="ca-ES" w:eastAsia="ca-ES"/>
        </w:rPr>
        <w:t xml:space="preserve"> Servei d’alimentació</w:t>
      </w:r>
    </w:p>
    <w:p>
      <w:pPr>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 Per tot el curs escolar, el menú triturats serà de 48,43 € al mes</w:t>
      </w:r>
      <w:r>
        <w:rPr>
          <w:rFonts w:ascii="Arial" w:hAnsi="Arial" w:cstheme="minorBidi"/>
          <w:sz w:val="20"/>
          <w:lang w:val="es-ES" w:eastAsia="es-ES"/>
        </w:rPr>
        <w:t>.</w:t>
      </w:r>
    </w:p>
    <w:p>
      <w:pPr>
        <w:ind w:left="720"/>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 Per tot el curs escolar, el menú sòlid serà de 87,27 € al mes</w:t>
      </w:r>
      <w:r>
        <w:rPr>
          <w:rFonts w:ascii="Arial" w:hAnsi="Arial" w:cstheme="minorBidi"/>
          <w:sz w:val="20"/>
          <w:lang w:val="es-ES" w:eastAsia="es-ES"/>
        </w:rPr>
        <w:t>.</w:t>
      </w:r>
    </w:p>
    <w:p>
      <w:pPr>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 Quan es comptabilitzi per dies o el menjador no sigui utilitzat tot el curs escolar, el preu serà de 5,71 € per dia el menú sòlid i de 3,24 € el menú triturats.</w:t>
      </w:r>
    </w:p>
    <w:p>
      <w:pPr>
        <w:ind w:left="720"/>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 Quan es comptabilitzin setmanalment dos dies fixos durant tot el curs escolar, els preus seran de 4,85 € per dia el menú sòlid i de 2,70 € el menú triturats.</w:t>
      </w:r>
    </w:p>
    <w:p>
      <w:pPr>
        <w:ind w:left="360"/>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Aquests preus s'actualitzaran anualment en funció de la variació de l'índex de preus al consumidor (IPC) acumulat a 31 de desembre de cada any.</w:t>
      </w:r>
    </w:p>
    <w:p>
      <w:pPr>
        <w:spacing w:before="240" w:after="240" w:beforeAutospacing="0" w:afterAutospacing="0"/>
        <w:rPr>
          <w:rFonts w:ascii="Arial" w:hAnsi="Arial" w:cstheme="minorBidi"/>
          <w:sz w:val="20"/>
          <w:lang w:val="ca-ES" w:eastAsia="ca-ES"/>
        </w:rPr>
      </w:pPr>
      <w:r>
        <w:rPr>
          <w:rFonts w:ascii="Arial" w:hAnsi="Arial" w:cstheme="minorBidi"/>
          <w:b w:val="1"/>
          <w:sz w:val="20"/>
          <w:lang w:val="es-ES" w:eastAsia="es-ES"/>
        </w:rPr>
        <w:t xml:space="preserve">d) </w:t>
      </w:r>
      <w:r>
        <w:rPr>
          <w:rFonts w:ascii="Arial" w:hAnsi="Arial" w:cstheme="minorBidi"/>
          <w:b w:val="1"/>
          <w:sz w:val="20"/>
          <w:lang w:val="ca-ES" w:eastAsia="ca-ES"/>
        </w:rPr>
        <w:t>Servei complementari sense contingut curricular</w:t>
      </w:r>
    </w:p>
    <w:p>
      <w:pPr>
        <w:spacing w:before="240" w:after="240" w:beforeAutospacing="0" w:afterAutospacing="0"/>
        <w:jc w:val="both"/>
        <w:rPr>
          <w:rFonts w:ascii="Arial" w:hAnsi="Arial" w:cstheme="minorBidi"/>
          <w:sz w:val="20"/>
          <w:lang w:val="ca-ES" w:eastAsia="ca-ES"/>
        </w:rPr>
      </w:pPr>
      <w:r>
        <w:rPr>
          <w:rFonts w:ascii="Arial" w:hAnsi="Arial" w:cstheme="minorBidi"/>
          <w:sz w:val="20"/>
          <w:lang w:val="ca-ES" w:eastAsia="ca-ES"/>
        </w:rPr>
        <w:t>Durant els mesos de juliol i agost, i durant les Vacances de Nadal i Pasqua, l’Ajuntament pot oferir un servei complementari de participació voluntària per a les famílies, amb activitats sense contingut curricular i d’acord amb el calendari</w:t>
      </w:r>
      <w:r>
        <w:rPr>
          <w:rFonts w:ascii="Arial" w:hAnsi="Arial" w:cstheme="minorBidi"/>
          <w:sz w:val="20"/>
          <w:lang w:val="es-ES" w:eastAsia="es-ES"/>
        </w:rPr>
        <w:t xml:space="preserve"> </w:t>
      </w:r>
      <w:r>
        <w:rPr>
          <w:rFonts w:ascii="Arial" w:hAnsi="Arial" w:cstheme="minorBidi"/>
          <w:sz w:val="20"/>
          <w:lang w:val="ca-ES" w:eastAsia="ca-ES"/>
        </w:rPr>
        <w:t>i les condicions que aprovi l’Ajuntament.</w:t>
      </w:r>
    </w:p>
    <w:p>
      <w:pPr>
        <w:spacing w:before="240" w:after="240" w:beforeAutospacing="0" w:afterAutospacing="0"/>
        <w:rPr>
          <w:rFonts w:ascii="Arial" w:hAnsi="Arial" w:cstheme="minorBidi"/>
          <w:sz w:val="20"/>
          <w:lang w:val="ca-ES" w:eastAsia="ca-ES"/>
        </w:rPr>
      </w:pPr>
      <w:r>
        <w:rPr>
          <w:rFonts w:ascii="Arial" w:hAnsi="Arial" w:cstheme="minorBidi"/>
          <w:sz w:val="20"/>
          <w:lang w:val="ca-ES" w:eastAsia="ca-ES"/>
        </w:rPr>
        <w:t>L</w:t>
      </w:r>
      <w:r>
        <w:rPr>
          <w:rFonts w:ascii="Arial" w:hAnsi="Arial" w:cstheme="minorBidi"/>
          <w:sz w:val="20"/>
          <w:lang w:val="es-ES" w:eastAsia="es-ES"/>
        </w:rPr>
        <w:t>es quotes</w:t>
      </w:r>
      <w:r>
        <w:rPr>
          <w:rFonts w:ascii="Arial" w:hAnsi="Arial" w:cstheme="minorBidi"/>
          <w:sz w:val="20"/>
          <w:lang w:val="ca-ES" w:eastAsia="ca-ES"/>
        </w:rPr>
        <w:t xml:space="preserve"> d’aquest servei serà</w:t>
      </w:r>
      <w:r>
        <w:rPr>
          <w:rFonts w:ascii="Arial" w:hAnsi="Arial" w:cstheme="minorBidi"/>
          <w:sz w:val="20"/>
          <w:lang w:val="es-ES" w:eastAsia="es-ES"/>
        </w:rPr>
        <w:t>n</w:t>
      </w:r>
      <w:r>
        <w:rPr>
          <w:rFonts w:ascii="Arial" w:hAnsi="Arial" w:cstheme="minorBidi"/>
          <w:sz w:val="20"/>
          <w:lang w:val="ca-ES" w:eastAsia="ca-ES"/>
        </w:rPr>
        <w:t xml:space="preserve"> </w:t>
      </w:r>
      <w:r>
        <w:rPr>
          <w:rFonts w:ascii="Arial" w:hAnsi="Arial" w:cstheme="minorBidi"/>
          <w:sz w:val="20"/>
          <w:lang w:val="es-ES" w:eastAsia="es-ES"/>
        </w:rPr>
        <w:t>les següents:</w:t>
      </w:r>
    </w:p>
    <w:p>
      <w:pPr>
        <w:rPr>
          <w:rFonts w:ascii="Arial" w:hAnsi="Arial" w:cstheme="minorBidi"/>
          <w:sz w:val="20"/>
          <w:lang w:val="ca-ES" w:eastAsia="ca-ES"/>
        </w:rPr>
      </w:pPr>
      <w:r>
        <w:rPr>
          <w:rFonts w:ascii="Arial" w:hAnsi="Arial" w:cstheme="minorBidi"/>
          <w:b w:val="1"/>
          <w:sz w:val="20"/>
          <w:lang w:val="ca-ES" w:eastAsia="ca-ES"/>
        </w:rPr>
        <w:t>Per a primer d’educació infantil (1r EI):</w:t>
      </w:r>
    </w:p>
    <w:p>
      <w:pPr>
        <w:rPr>
          <w:rFonts w:ascii="Arial" w:hAnsi="Arial" w:cstheme="minorBidi"/>
          <w:sz w:val="20"/>
          <w:lang w:val="ca-ES" w:eastAsia="ca-ES"/>
        </w:rPr>
      </w:pPr>
    </w:p>
    <w:tbl>
      <w:tblPr>
        <w:tblW w:w="0" w:type="auto"/>
        <w:tblInd w:w="370" w:type="dxa"/>
        <w:tblLayout w:type="fixed"/>
        <w:tblCellMar>
          <w:left w:w="0" w:type="dxa"/>
          <w:right w:w="0" w:type="dxa"/>
        </w:tblCellMar>
      </w:tblPr>
      <w:tblGrid/>
      <w:tr>
        <w:tc>
          <w:tcPr>
            <w:tcW w:w="6029" w:type="dxa"/>
            <w:tcBorders>
              <w:top w:val="thickThinSmallGap" w:sz="2" w:space="0" w:shadow="0" w:frame="0" w:color="000000"/>
              <w:left w:val="thickThinSmallGap" w:sz="2" w:space="0" w:shadow="0" w:frame="0" w:color="000000"/>
              <w:bottom w:val="thickThinSmallGap" w:sz="2" w:space="0" w:shadow="0" w:frame="0" w:color="000000"/>
            </w:tcBorders>
            <w:tcMar>
              <w:top w:w="100" w:type="dxa"/>
              <w:left w:w="100" w:type="dxa"/>
              <w:bottom w:w="100" w:type="dxa"/>
              <w:right w:w="100" w:type="dxa"/>
            </w:tcMar>
          </w:tcPr>
          <w:p>
            <w:pPr>
              <w:widowControl w:val="0"/>
              <w:rPr>
                <w:rFonts w:ascii="Arial" w:hAnsi="Arial" w:cstheme="minorBidi"/>
                <w:sz w:val="20"/>
                <w:lang w:val="ca-ES" w:eastAsia="ca-ES"/>
              </w:rPr>
            </w:pPr>
            <w:r>
              <w:rPr>
                <w:rFonts w:ascii="Arial" w:hAnsi="Arial" w:cstheme="minorBidi"/>
                <w:i w:val="1"/>
                <w:sz w:val="20"/>
                <w:lang w:val="ca-ES" w:eastAsia="ca-ES"/>
              </w:rPr>
              <w:t>Horari</w:t>
            </w:r>
          </w:p>
        </w:tc>
        <w:tc>
          <w:tcPr>
            <w:tcW w:w="3609" w:type="dxa"/>
            <w:tcBorders>
              <w:top w:val="thickThinSmallGap" w:sz="2" w:space="0" w:shadow="0" w:frame="0" w:color="000000"/>
              <w:left w:val="thickThinSmallGap" w:sz="2" w:space="0" w:shadow="0" w:frame="0" w:color="000000"/>
              <w:bottom w:val="thickThinSmallGap" w:sz="2" w:space="0" w:shadow="0" w:frame="0" w:color="000000"/>
              <w:right w:val="thickThinSmallGap" w:sz="2" w:space="0" w:shadow="0" w:frame="0" w:color="000000"/>
            </w:tcBorders>
            <w:tcMar>
              <w:top w:w="100" w:type="dxa"/>
              <w:left w:w="100" w:type="dxa"/>
              <w:bottom w:w="100" w:type="dxa"/>
              <w:right w:w="100" w:type="dxa"/>
            </w:tcMar>
          </w:tcPr>
          <w:p>
            <w:pPr>
              <w:widowControl w:val="0"/>
              <w:jc w:val="center"/>
              <w:rPr>
                <w:rFonts w:ascii="Arial" w:hAnsi="Arial" w:cstheme="minorBidi"/>
                <w:sz w:val="20"/>
                <w:lang w:val="ca-ES" w:eastAsia="ca-ES"/>
              </w:rPr>
            </w:pPr>
            <w:r>
              <w:rPr>
                <w:rFonts w:ascii="Arial" w:hAnsi="Arial" w:cstheme="minorBidi"/>
                <w:i w:val="1"/>
                <w:sz w:val="20"/>
                <w:lang w:val="ca-ES" w:eastAsia="ca-ES"/>
              </w:rPr>
              <w:t>Quota</w:t>
            </w:r>
          </w:p>
        </w:tc>
      </w:tr>
      <w:tr>
        <w:tc>
          <w:tcPr>
            <w:tcW w:w="6029" w:type="dxa"/>
            <w:tcBorders>
              <w:left w:val="thickThinSmallGap" w:sz="2" w:space="0" w:shadow="0" w:frame="0" w:color="000000"/>
              <w:bottom w:val="thickThinSmallGap" w:sz="2" w:space="0" w:shadow="0" w:frame="0" w:color="000000"/>
            </w:tcBorders>
            <w:tcMar>
              <w:top w:w="100" w:type="dxa"/>
              <w:left w:w="100" w:type="dxa"/>
              <w:bottom w:w="100" w:type="dxa"/>
              <w:right w:w="100" w:type="dxa"/>
            </w:tcMar>
          </w:tcPr>
          <w:p>
            <w:pPr>
              <w:widowControl w:val="0"/>
              <w:rPr>
                <w:rFonts w:ascii="Arial" w:hAnsi="Arial" w:cstheme="minorBidi"/>
                <w:sz w:val="20"/>
                <w:lang w:val="ca-ES" w:eastAsia="ca-ES"/>
              </w:rPr>
            </w:pPr>
            <w:r>
              <w:rPr>
                <w:rFonts w:ascii="Arial" w:hAnsi="Arial" w:cstheme="minorBidi"/>
                <w:sz w:val="20"/>
                <w:lang w:val="ca-ES" w:eastAsia="ca-ES"/>
              </w:rPr>
              <w:t>De 8.</w:t>
            </w:r>
            <w:r>
              <w:rPr>
                <w:rFonts w:ascii="Arial" w:hAnsi="Arial" w:cstheme="minorBidi"/>
                <w:sz w:val="20"/>
                <w:lang w:val="es-ES" w:eastAsia="es-ES"/>
              </w:rPr>
              <w:t>30</w:t>
            </w:r>
            <w:r>
              <w:rPr>
                <w:rFonts w:ascii="Arial" w:hAnsi="Arial" w:cstheme="minorBidi"/>
                <w:sz w:val="20"/>
                <w:lang w:val="ca-ES" w:eastAsia="ca-ES"/>
              </w:rPr>
              <w:t xml:space="preserve"> h a 1</w:t>
            </w:r>
            <w:r>
              <w:rPr>
                <w:rFonts w:ascii="Arial" w:hAnsi="Arial" w:cstheme="minorBidi"/>
                <w:sz w:val="20"/>
                <w:lang w:val="es-ES" w:eastAsia="es-ES"/>
              </w:rPr>
              <w:t>3</w:t>
            </w:r>
            <w:r>
              <w:rPr>
                <w:rFonts w:ascii="Arial" w:hAnsi="Arial" w:cstheme="minorBidi"/>
                <w:sz w:val="20"/>
                <w:lang w:val="ca-ES" w:eastAsia="ca-ES"/>
              </w:rPr>
              <w:t>.</w:t>
            </w:r>
            <w:r>
              <w:rPr>
                <w:rFonts w:ascii="Arial" w:hAnsi="Arial" w:cstheme="minorBidi"/>
                <w:sz w:val="20"/>
                <w:lang w:val="es-ES" w:eastAsia="es-ES"/>
              </w:rPr>
              <w:t>30</w:t>
            </w:r>
            <w:r>
              <w:rPr>
                <w:rFonts w:ascii="Arial" w:hAnsi="Arial" w:cstheme="minorBidi"/>
                <w:sz w:val="20"/>
                <w:lang w:val="ca-ES" w:eastAsia="ca-ES"/>
              </w:rPr>
              <w:t xml:space="preserve"> h</w:t>
            </w:r>
          </w:p>
          <w:p>
            <w:pPr>
              <w:widowControl w:val="0"/>
              <w:rPr>
                <w:rFonts w:ascii="Arial" w:hAnsi="Arial" w:cstheme="minorBidi"/>
                <w:sz w:val="20"/>
                <w:lang w:val="ca-ES" w:eastAsia="ca-ES"/>
              </w:rPr>
            </w:pPr>
            <w:r>
              <w:rPr>
                <w:rFonts w:ascii="Arial" w:hAnsi="Arial" w:cstheme="minorBidi"/>
                <w:sz w:val="20"/>
                <w:lang w:val="es-ES" w:eastAsia="es-ES"/>
              </w:rPr>
              <w:t>Juliol i Agost</w:t>
            </w:r>
          </w:p>
          <w:p>
            <w:pPr>
              <w:widowControl w:val="0"/>
              <w:rPr>
                <w:rFonts w:ascii="Arial" w:hAnsi="Arial" w:cstheme="minorBidi"/>
                <w:sz w:val="20"/>
                <w:lang w:val="ca-ES" w:eastAsia="ca-ES"/>
              </w:rPr>
            </w:pPr>
            <w:r>
              <w:rPr>
                <w:rFonts w:ascii="Arial" w:hAnsi="Arial" w:cstheme="minorBidi"/>
                <w:sz w:val="20"/>
                <w:lang w:val="es-ES" w:eastAsia="es-ES"/>
              </w:rPr>
              <w:t>Vacances de Nadal i Pasqua</w:t>
            </w:r>
          </w:p>
        </w:tc>
        <w:tc>
          <w:tcPr>
            <w:tcW w:w="3609" w:type="dxa"/>
            <w:tcBorders>
              <w:left w:val="thickThinSmallGap" w:sz="2" w:space="0" w:shadow="0" w:frame="0" w:color="000000"/>
              <w:bottom w:val="thickThinSmallGap" w:sz="2" w:space="0" w:shadow="0" w:frame="0" w:color="000000"/>
              <w:right w:val="thickThinSmallGap" w:sz="2" w:space="0" w:shadow="0" w:frame="0" w:color="000000"/>
            </w:tcBorders>
            <w:tcMar>
              <w:top w:w="100" w:type="dxa"/>
              <w:left w:w="100" w:type="dxa"/>
              <w:bottom w:w="100" w:type="dxa"/>
              <w:right w:w="100" w:type="dxa"/>
            </w:tcMar>
          </w:tcPr>
          <w:p>
            <w:pPr>
              <w:widowControl w:val="0"/>
              <w:jc w:val="center"/>
              <w:rPr>
                <w:rFonts w:ascii="Arial" w:hAnsi="Arial" w:cstheme="minorBidi"/>
                <w:sz w:val="20"/>
                <w:lang w:val="ca-ES" w:eastAsia="ca-ES"/>
              </w:rPr>
            </w:pPr>
            <w:r>
              <w:rPr>
                <w:rFonts w:ascii="Arial" w:hAnsi="Arial" w:cstheme="minorBidi"/>
                <w:sz w:val="20"/>
                <w:lang w:val="es-ES" w:eastAsia="es-ES"/>
              </w:rPr>
              <w:t>500,00</w:t>
            </w:r>
            <w:r>
              <w:rPr>
                <w:rFonts w:ascii="Arial" w:hAnsi="Arial" w:cstheme="minorBidi"/>
                <w:sz w:val="20"/>
                <w:lang w:val="ca-ES" w:eastAsia="ca-ES"/>
              </w:rPr>
              <w:t xml:space="preserve"> €</w:t>
            </w:r>
            <w:r>
              <w:rPr>
                <w:rFonts w:ascii="Arial" w:hAnsi="Arial" w:cstheme="minorBidi"/>
                <w:sz w:val="20"/>
                <w:lang w:val="es-ES" w:eastAsia="es-ES"/>
              </w:rPr>
              <w:t xml:space="preserve"> (*)</w:t>
            </w:r>
          </w:p>
        </w:tc>
      </w:tr>
    </w:tbl>
    <w:p>
      <w:pPr>
        <w:rPr>
          <w:rFonts w:ascii="Arial" w:hAnsi="Arial" w:cstheme="minorBidi"/>
          <w:b w:val="1"/>
          <w:sz w:val="20"/>
          <w:lang w:val="ca-ES" w:eastAsia="ca-ES"/>
        </w:rPr>
      </w:pPr>
    </w:p>
    <w:p>
      <w:pPr>
        <w:rPr>
          <w:rFonts w:ascii="Arial" w:hAnsi="Arial" w:cstheme="minorBidi"/>
          <w:sz w:val="20"/>
          <w:lang w:val="ca-ES" w:eastAsia="ca-ES"/>
        </w:rPr>
      </w:pPr>
      <w:r>
        <w:rPr>
          <w:rFonts w:ascii="Arial" w:hAnsi="Arial" w:cstheme="minorBidi"/>
          <w:b w:val="1"/>
          <w:sz w:val="20"/>
          <w:lang w:val="ca-ES" w:eastAsia="ca-ES"/>
        </w:rPr>
        <w:t>Per a segon i tercer d’educació infantil (2n i 3r):</w:t>
      </w:r>
    </w:p>
    <w:p>
      <w:pPr>
        <w:rPr>
          <w:rFonts w:ascii="Arial" w:hAnsi="Arial" w:cstheme="minorBidi"/>
          <w:sz w:val="20"/>
          <w:lang w:val="ca-ES" w:eastAsia="ca-ES"/>
        </w:rPr>
      </w:pPr>
    </w:p>
    <w:tbl>
      <w:tblPr>
        <w:tblW w:w="0" w:type="auto"/>
        <w:tblInd w:w="370" w:type="dxa"/>
        <w:tblLayout w:type="fixed"/>
        <w:tblCellMar>
          <w:left w:w="0" w:type="dxa"/>
          <w:right w:w="0" w:type="dxa"/>
        </w:tblCellMar>
      </w:tblPr>
      <w:tblGrid/>
      <w:tr>
        <w:tc>
          <w:tcPr>
            <w:tcW w:w="6029" w:type="dxa"/>
            <w:tcBorders>
              <w:top w:val="thickThinSmallGap" w:sz="2" w:space="0" w:shadow="0" w:frame="0" w:color="000000"/>
              <w:left w:val="thickThinSmallGap" w:sz="2" w:space="0" w:shadow="0" w:frame="0" w:color="000000"/>
              <w:bottom w:val="thickThinSmallGap" w:sz="2" w:space="0" w:shadow="0" w:frame="0" w:color="000000"/>
            </w:tcBorders>
            <w:tcMar>
              <w:top w:w="100" w:type="dxa"/>
              <w:left w:w="100" w:type="dxa"/>
              <w:bottom w:w="100" w:type="dxa"/>
              <w:right w:w="100" w:type="dxa"/>
            </w:tcMar>
          </w:tcPr>
          <w:p>
            <w:pPr>
              <w:widowControl w:val="0"/>
              <w:rPr>
                <w:rFonts w:ascii="Arial" w:hAnsi="Arial" w:cstheme="minorBidi"/>
                <w:sz w:val="20"/>
                <w:lang w:val="ca-ES" w:eastAsia="ca-ES"/>
              </w:rPr>
            </w:pPr>
            <w:r>
              <w:rPr>
                <w:rFonts w:ascii="Arial" w:hAnsi="Arial" w:cstheme="minorBidi"/>
                <w:i w:val="1"/>
                <w:sz w:val="20"/>
                <w:lang w:val="es-ES" w:eastAsia="es-ES"/>
              </w:rPr>
              <w:t>H</w:t>
            </w:r>
            <w:r>
              <w:rPr>
                <w:rFonts w:ascii="Arial" w:hAnsi="Arial" w:cstheme="minorBidi"/>
                <w:i w:val="1"/>
                <w:sz w:val="20"/>
                <w:lang w:val="ca-ES" w:eastAsia="ca-ES"/>
              </w:rPr>
              <w:t>orari</w:t>
            </w:r>
          </w:p>
        </w:tc>
        <w:tc>
          <w:tcPr>
            <w:tcW w:w="3609" w:type="dxa"/>
            <w:tcBorders>
              <w:top w:val="thickThinSmallGap" w:sz="2" w:space="0" w:shadow="0" w:frame="0" w:color="000000"/>
              <w:left w:val="thickThinSmallGap" w:sz="2" w:space="0" w:shadow="0" w:frame="0" w:color="000000"/>
              <w:bottom w:val="thickThinSmallGap" w:sz="2" w:space="0" w:shadow="0" w:frame="0" w:color="000000"/>
              <w:right w:val="thickThinSmallGap" w:sz="2" w:space="0" w:shadow="0" w:frame="0" w:color="000000"/>
            </w:tcBorders>
            <w:tcMar>
              <w:top w:w="100" w:type="dxa"/>
              <w:left w:w="100" w:type="dxa"/>
              <w:bottom w:w="100" w:type="dxa"/>
              <w:right w:w="100" w:type="dxa"/>
            </w:tcMar>
          </w:tcPr>
          <w:p>
            <w:pPr>
              <w:widowControl w:val="0"/>
              <w:jc w:val="center"/>
              <w:rPr>
                <w:rFonts w:ascii="Arial" w:hAnsi="Arial" w:cstheme="minorBidi"/>
                <w:sz w:val="20"/>
                <w:lang w:val="ca-ES" w:eastAsia="ca-ES"/>
              </w:rPr>
            </w:pPr>
            <w:r>
              <w:rPr>
                <w:rFonts w:ascii="Arial" w:hAnsi="Arial" w:cstheme="minorBidi"/>
                <w:i w:val="1"/>
                <w:sz w:val="20"/>
                <w:lang w:val="ca-ES" w:eastAsia="ca-ES"/>
              </w:rPr>
              <w:t>Quota</w:t>
            </w:r>
          </w:p>
        </w:tc>
      </w:tr>
      <w:tr>
        <w:tc>
          <w:tcPr>
            <w:tcW w:w="6029" w:type="dxa"/>
            <w:tcBorders>
              <w:left w:val="thickThinSmallGap" w:sz="2" w:space="0" w:shadow="0" w:frame="0" w:color="000000"/>
              <w:bottom w:val="thickThinSmallGap" w:sz="2" w:space="0" w:shadow="0" w:frame="0" w:color="000000"/>
            </w:tcBorders>
            <w:tcMar>
              <w:top w:w="100" w:type="dxa"/>
              <w:left w:w="100" w:type="dxa"/>
              <w:bottom w:w="100" w:type="dxa"/>
              <w:right w:w="100" w:type="dxa"/>
            </w:tcMar>
          </w:tcPr>
          <w:p>
            <w:pPr>
              <w:widowControl w:val="0"/>
              <w:rPr>
                <w:rFonts w:ascii="Arial" w:hAnsi="Arial" w:cstheme="minorBidi"/>
                <w:sz w:val="20"/>
                <w:lang w:val="ca-ES" w:eastAsia="ca-ES"/>
              </w:rPr>
            </w:pPr>
            <w:r>
              <w:rPr>
                <w:rFonts w:ascii="Arial" w:hAnsi="Arial" w:cstheme="minorBidi"/>
                <w:sz w:val="20"/>
                <w:lang w:val="ca-ES" w:eastAsia="ca-ES"/>
              </w:rPr>
              <w:t>De 8.</w:t>
            </w:r>
            <w:r>
              <w:rPr>
                <w:rFonts w:ascii="Arial" w:hAnsi="Arial" w:cstheme="minorBidi"/>
                <w:sz w:val="20"/>
                <w:lang w:val="es-ES" w:eastAsia="es-ES"/>
              </w:rPr>
              <w:t>30</w:t>
            </w:r>
            <w:r>
              <w:rPr>
                <w:rFonts w:ascii="Arial" w:hAnsi="Arial" w:cstheme="minorBidi"/>
                <w:sz w:val="20"/>
                <w:lang w:val="ca-ES" w:eastAsia="ca-ES"/>
              </w:rPr>
              <w:t>h a 1</w:t>
            </w:r>
            <w:r>
              <w:rPr>
                <w:rFonts w:ascii="Arial" w:hAnsi="Arial" w:cstheme="minorBidi"/>
                <w:sz w:val="20"/>
                <w:lang w:val="es-ES" w:eastAsia="es-ES"/>
              </w:rPr>
              <w:t>3</w:t>
            </w:r>
            <w:r>
              <w:rPr>
                <w:rFonts w:ascii="Arial" w:hAnsi="Arial" w:cstheme="minorBidi"/>
                <w:sz w:val="20"/>
                <w:lang w:val="ca-ES" w:eastAsia="ca-ES"/>
              </w:rPr>
              <w:t>.</w:t>
            </w:r>
            <w:r>
              <w:rPr>
                <w:rFonts w:ascii="Arial" w:hAnsi="Arial" w:cstheme="minorBidi"/>
                <w:sz w:val="20"/>
                <w:lang w:val="es-ES" w:eastAsia="es-ES"/>
              </w:rPr>
              <w:t>3</w:t>
            </w:r>
            <w:r>
              <w:rPr>
                <w:rFonts w:ascii="Arial" w:hAnsi="Arial" w:cstheme="minorBidi"/>
                <w:sz w:val="20"/>
                <w:lang w:val="ca-ES" w:eastAsia="ca-ES"/>
              </w:rPr>
              <w:t>0 h</w:t>
            </w:r>
          </w:p>
          <w:p>
            <w:pPr>
              <w:widowControl w:val="0"/>
              <w:rPr>
                <w:rFonts w:ascii="Arial" w:hAnsi="Arial" w:cstheme="minorBidi"/>
                <w:sz w:val="20"/>
                <w:lang w:val="ca-ES" w:eastAsia="ca-ES"/>
              </w:rPr>
            </w:pPr>
            <w:r>
              <w:rPr>
                <w:rFonts w:ascii="Arial" w:hAnsi="Arial" w:cstheme="minorBidi"/>
                <w:sz w:val="20"/>
                <w:lang w:val="es-ES" w:eastAsia="es-ES"/>
              </w:rPr>
              <w:t>Juliol i Agost</w:t>
            </w:r>
          </w:p>
          <w:p>
            <w:pPr>
              <w:widowControl w:val="0"/>
              <w:rPr>
                <w:rFonts w:ascii="Arial" w:hAnsi="Arial" w:cstheme="minorBidi"/>
                <w:sz w:val="20"/>
                <w:lang w:val="ca-ES" w:eastAsia="ca-ES"/>
              </w:rPr>
            </w:pPr>
            <w:r>
              <w:rPr>
                <w:rFonts w:ascii="Arial" w:hAnsi="Arial" w:cstheme="minorBidi"/>
                <w:sz w:val="20"/>
                <w:lang w:val="es-ES" w:eastAsia="es-ES"/>
              </w:rPr>
              <w:t>Vacances de Nadal i Pasqua</w:t>
            </w:r>
          </w:p>
        </w:tc>
        <w:tc>
          <w:tcPr>
            <w:tcW w:w="3609" w:type="dxa"/>
            <w:tcBorders>
              <w:left w:val="thickThinSmallGap" w:sz="2" w:space="0" w:shadow="0" w:frame="0" w:color="000000"/>
              <w:bottom w:val="thickThinSmallGap" w:sz="2" w:space="0" w:shadow="0" w:frame="0" w:color="000000"/>
              <w:right w:val="thickThinSmallGap" w:sz="2" w:space="0" w:shadow="0" w:frame="0" w:color="000000"/>
            </w:tcBorders>
            <w:tcMar>
              <w:top w:w="100" w:type="dxa"/>
              <w:left w:w="100" w:type="dxa"/>
              <w:bottom w:w="100" w:type="dxa"/>
              <w:right w:w="100" w:type="dxa"/>
            </w:tcMar>
          </w:tcPr>
          <w:p>
            <w:pPr>
              <w:widowControl w:val="0"/>
              <w:jc w:val="center"/>
              <w:rPr>
                <w:rFonts w:ascii="Arial" w:hAnsi="Arial" w:cstheme="minorBidi"/>
                <w:sz w:val="20"/>
                <w:lang w:val="ca-ES" w:eastAsia="ca-ES"/>
              </w:rPr>
            </w:pPr>
            <w:r>
              <w:rPr>
                <w:rFonts w:ascii="Arial" w:hAnsi="Arial" w:cstheme="minorBidi"/>
                <w:sz w:val="20"/>
                <w:lang w:val="es-ES" w:eastAsia="es-ES"/>
              </w:rPr>
              <w:t>450,00</w:t>
            </w:r>
            <w:r>
              <w:rPr>
                <w:rFonts w:ascii="Arial" w:hAnsi="Arial" w:cstheme="minorBidi"/>
                <w:sz w:val="20"/>
                <w:lang w:val="ca-ES" w:eastAsia="ca-ES"/>
              </w:rPr>
              <w:t xml:space="preserve"> €</w:t>
            </w:r>
            <w:r>
              <w:rPr>
                <w:rFonts w:ascii="Arial" w:hAnsi="Arial" w:cstheme="minorBidi"/>
                <w:sz w:val="20"/>
                <w:lang w:val="es-ES" w:eastAsia="es-ES"/>
              </w:rPr>
              <w:t xml:space="preserve"> (*)</w:t>
            </w:r>
          </w:p>
        </w:tc>
      </w:tr>
    </w:tbl>
    <w:p>
      <w:pPr>
        <w:spacing w:before="240" w:after="240" w:beforeAutospacing="0" w:afterAutospacing="0"/>
        <w:jc w:val="both"/>
        <w:rPr>
          <w:rFonts w:ascii="Arial" w:hAnsi="Arial" w:cstheme="minorBidi"/>
          <w:sz w:val="20"/>
          <w:lang w:val="ca-ES" w:eastAsia="ca-ES"/>
        </w:rPr>
      </w:pPr>
      <w:r>
        <w:rPr>
          <w:rFonts w:ascii="Arial" w:hAnsi="Arial" w:cstheme="minorBidi"/>
          <w:i w:val="1"/>
          <w:sz w:val="20"/>
          <w:lang w:val="es-ES" w:eastAsia="es-ES"/>
        </w:rPr>
        <w:t>(*)</w:t>
      </w:r>
      <w:bookmarkStart w:id="1" w:name="_dx_frag_StartFragment1_1"/>
      <w:bookmarkEnd w:id="1"/>
      <w:r>
        <w:rPr>
          <w:rFonts w:ascii="Arial" w:hAnsi="Arial" w:cstheme="minorBidi"/>
          <w:i w:val="1"/>
          <w:sz w:val="20"/>
          <w:lang w:val="es-ES" w:eastAsia="es-ES"/>
        </w:rPr>
        <w:t xml:space="preserve"> </w:t>
      </w:r>
      <w:r>
        <w:rPr>
          <w:rFonts w:ascii="Arial" w:hAnsi="Arial" w:cstheme="minorBidi"/>
          <w:i w:val="1"/>
          <w:sz w:val="20"/>
          <w:lang w:val="ca-ES" w:eastAsia="ca-ES"/>
        </w:rPr>
        <w:t>Les quotes indicades tenen caràcter mensual.</w:t>
      </w:r>
      <w:bookmarkStart w:id="2" w:name="_dx_frag_StartFragment2_1"/>
      <w:bookmarkEnd w:id="2"/>
      <w:bookmarkStart w:id="3" w:name="_dx_frag_EndFragment1_1"/>
      <w:bookmarkEnd w:id="3"/>
      <w:r>
        <w:rPr>
          <w:rFonts w:ascii="Arial" w:hAnsi="Arial" w:cstheme="minorBidi"/>
          <w:i w:val="1"/>
          <w:sz w:val="20"/>
          <w:lang w:val="es-ES" w:eastAsia="es-ES"/>
        </w:rPr>
        <w:t xml:space="preserve"> </w:t>
      </w:r>
      <w:r>
        <w:rPr>
          <w:rFonts w:ascii="Arial" w:hAnsi="Arial" w:cstheme="minorBidi"/>
          <w:i w:val="1"/>
          <w:sz w:val="20"/>
          <w:lang w:val="ca-ES" w:eastAsia="ca-ES"/>
        </w:rPr>
        <w:t xml:space="preserve">Quan la matrícula es formalitzi per </w:t>
      </w:r>
      <w:r>
        <w:rPr>
          <w:rFonts w:ascii="Arial" w:hAnsi="Arial" w:cstheme="minorBidi"/>
          <w:i w:val="1"/>
          <w:sz w:val="20"/>
          <w:lang w:val="es-ES" w:eastAsia="es-ES"/>
        </w:rPr>
        <w:t xml:space="preserve">quinzenes  o setmanes</w:t>
      </w:r>
      <w:r>
        <w:rPr>
          <w:rFonts w:ascii="Arial" w:hAnsi="Arial" w:cstheme="minorBidi"/>
          <w:i w:val="1"/>
          <w:sz w:val="20"/>
          <w:lang w:val="ca-ES" w:eastAsia="ca-ES"/>
        </w:rPr>
        <w:t xml:space="preserve"> </w:t>
      </w:r>
      <w:bookmarkStart w:id="4" w:name="_dx_frag_EndFragment2_1"/>
      <w:bookmarkEnd w:id="4"/>
      <w:r>
        <w:rPr>
          <w:rFonts w:ascii="Arial" w:hAnsi="Arial" w:cstheme="minorBidi"/>
          <w:i w:val="1"/>
          <w:sz w:val="20"/>
          <w:lang w:val="es-ES" w:eastAsia="es-ES"/>
        </w:rPr>
        <w:t>s'abonarà la part proporcional de la quota mensual que correspongui.</w:t>
      </w:r>
    </w:p>
    <w:p>
      <w:pPr>
        <w:rPr>
          <w:rFonts w:ascii="Arial" w:hAnsi="Arial" w:cstheme="minorBidi"/>
          <w:sz w:val="20"/>
          <w:lang w:val="ca-ES" w:eastAsia="ca-ES"/>
        </w:rPr>
      </w:pPr>
      <w:r>
        <w:rPr>
          <w:rFonts w:ascii="Arial" w:hAnsi="Arial" w:cstheme="minorBidi"/>
          <w:b w:val="1"/>
          <w:sz w:val="20"/>
          <w:lang w:val="ca-ES" w:eastAsia="ca-ES"/>
        </w:rPr>
        <w:t xml:space="preserve">Article 4 </w:t>
      </w:r>
    </w:p>
    <w:p>
      <w:pPr>
        <w:rPr>
          <w:rFonts w:ascii="Arial" w:hAnsi="Arial" w:cstheme="minorBidi"/>
          <w:sz w:val="20"/>
          <w:lang w:val="ca-ES" w:eastAsia="ca-ES"/>
        </w:rPr>
      </w:pPr>
      <w:r>
        <w:rPr>
          <w:rFonts w:ascii="Arial" w:hAnsi="Arial" w:cstheme="minorBidi"/>
          <w:b w:val="1"/>
          <w:sz w:val="20"/>
          <w:lang w:val="ca-ES" w:eastAsia="ca-ES"/>
        </w:rPr>
        <w:t>Liquidació i ingrés</w:t>
      </w:r>
    </w:p>
    <w:p>
      <w:pPr>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L’import de la quota de material del curs es pagarà anualment abans de finalitzar el procediment d’admissió.</w:t>
      </w:r>
    </w:p>
    <w:p>
      <w:pPr>
        <w:ind w:left="720"/>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En cas de realitzar una sol·licitud de bonificació de les quotes mensuals previstes a l'article 5 d'aquesta Ordenança, el pagament de la quota se satisfarà en el termini de 15 dies hàbils posteriors a la resolució de la sol·licitud.</w:t>
      </w:r>
    </w:p>
    <w:p>
      <w:pPr>
        <w:ind w:left="720"/>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 xml:space="preserve">Si l’alta es fa amb el curs ja iniciat, el pagament s’efectuarà en el moment de l’alta. </w:t>
      </w:r>
    </w:p>
    <w:p>
      <w:pPr>
        <w:ind w:left="720"/>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Llevat de casos excepcionals que impedeixin la incorporació a l’escola infantil, no es retornarà l’import abonat en concepte de quota de material del curs.</w:t>
      </w:r>
    </w:p>
    <w:p>
      <w:pPr>
        <w:ind w:left="720"/>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 xml:space="preserve">El cobrament s'efectuarà de la següent manera: l’import total anual serà repartit en </w:t>
      </w:r>
      <w:r>
        <w:rPr>
          <w:rFonts w:ascii="Arial" w:hAnsi="Arial" w:cstheme="minorBidi"/>
          <w:sz w:val="20"/>
          <w:lang w:val="es-ES" w:eastAsia="es-ES"/>
        </w:rPr>
        <w:t>10</w:t>
      </w:r>
      <w:r>
        <w:rPr>
          <w:rFonts w:ascii="Arial" w:hAnsi="Arial" w:cstheme="minorBidi"/>
          <w:sz w:val="20"/>
          <w:lang w:val="ca-ES" w:eastAsia="ca-ES"/>
        </w:rPr>
        <w:t xml:space="preserve"> mesades; en el cas dels Espais Familiars, massatges o altres serveis complementaris, el pagament es repartirà entre els mesos en què estigui actiu el servei.</w:t>
      </w:r>
    </w:p>
    <w:p>
      <w:pPr>
        <w:ind w:left="720"/>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Les quotes es liquidaran mensualment i anticipadament.</w:t>
      </w:r>
    </w:p>
    <w:p>
      <w:pPr>
        <w:ind w:left="720"/>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Les quotes s’abonaran mitjançant càrrec en compte bancari. Amb aquesta finalitat, el subjecte passiu haurà d’estendre l’ordre bancària corresponent i domiciliar el pagament en el moment de la inscripció. Excepcionalment, l’Ajuntament podrà autoritzar altres tipus de pagament.</w:t>
      </w:r>
    </w:p>
    <w:p>
      <w:pPr>
        <w:ind w:left="720"/>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L’obligació de pagament persisteix mentre la persona usuària no causi baixa voluntària del servei i tindrà efectes el dia primer del mes següent. Aquesta obligació persisteix si per causes justificades no assisteixen al centre, ja que la formalització de la matrícula inclou el compromís d’assistència al centre i el pagament de les quotes mensuals. Es gestionarà la cobrança mitjançant la domiciliació bancària al llarg dels primers dies del mes.</w:t>
      </w:r>
    </w:p>
    <w:p>
      <w:pPr>
        <w:ind w:left="720"/>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En cas d’impagament o de retorn de rebuts domiciliats en els terminis establerts a aquest efecte, es podran tramitar els expedients de constrenyiment que corresponguin per recaptar les quotes meritades, informant-ne prèviament la direcció del centre.</w:t>
      </w:r>
    </w:p>
    <w:p>
      <w:pPr>
        <w:ind w:left="720"/>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Quan per causes no imputables a la persona obligada a pagar el preu públic l’escola no es desenvolupi o no tengui lloc, es procedirà a la devolució de l’import corresponent o bé al canvi d’escola.</w:t>
      </w:r>
    </w:p>
    <w:p>
      <w:pPr>
        <w:ind w:left="720"/>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La inassistència a l’escola o al servei d’alimentació (si s'escau) no comportarà dret a devolucions dels preus públics.</w:t>
      </w:r>
    </w:p>
    <w:p>
      <w:pPr>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b w:val="1"/>
          <w:sz w:val="20"/>
          <w:lang w:val="ca-ES" w:eastAsia="ca-ES"/>
        </w:rPr>
        <w:t>Article 5</w:t>
      </w:r>
    </w:p>
    <w:p>
      <w:pPr>
        <w:pStyle w:val="P20"/>
        <w:rPr>
          <w:rFonts w:ascii="Arial" w:hAnsi="Arial" w:cstheme="minorBidi"/>
          <w:sz w:val="20"/>
          <w:lang w:val="ca-ES" w:eastAsia="ca-ES"/>
        </w:rPr>
      </w:pPr>
      <w:r>
        <w:rPr>
          <w:rFonts w:ascii="Arial" w:hAnsi="Arial" w:cstheme="minorBidi"/>
          <w:b w:val="1"/>
          <w:sz w:val="20"/>
          <w:lang w:val="ca-ES" w:eastAsia="ca-ES"/>
        </w:rPr>
        <w:t xml:space="preserve">Bonificacions </w:t>
      </w:r>
    </w:p>
    <w:p>
      <w:pPr>
        <w:pStyle w:val="P20"/>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b w:val="1"/>
          <w:sz w:val="20"/>
          <w:lang w:val="ca-ES" w:eastAsia="ca-ES"/>
        </w:rPr>
        <w:t>5.1 Bonificacions del servei d’escolarització bàsica</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1. Les bonificacions de les quotes mensuals dels preus públics dels serveis educatius prestats per l’Escola Infantil Ses Oronelles de Ferreries s’estableixen d’acord amb el que disposa l’article 44.2 del Text refós de la Llei reguladora de les hisendes locals, que permet bonificar les quanties dels preus públics quan hi hagi raons socials, benèfiques, culturals o d’interès públic que així ho aconsellin.</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2. L’òrgan competent per concedir les bonificacions de les quotes és la Regidoria d’Educació, que és la que determina la concessió de les bonificacions de les quanties dels diferents preus públics quan es donen els requisits establerts en la present Ordenança.</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3. Requisits per a la sol·licitud de les bonificacions:</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i w:val="1"/>
          <w:sz w:val="20"/>
          <w:lang w:val="ca-ES" w:eastAsia="ca-ES"/>
        </w:rPr>
        <w:t>a)</w:t>
      </w:r>
      <w:r>
        <w:rPr>
          <w:rFonts w:ascii="Arial" w:hAnsi="Arial" w:cstheme="minorBidi"/>
          <w:sz w:val="20"/>
          <w:lang w:val="ca-ES" w:eastAsia="ca-ES"/>
        </w:rPr>
        <w:t xml:space="preserve"> Es podrà sol·licitar una bonificació per a l’alumnat empadronat a Ferreries que es matriculi a l’Escola Infantil Ses Oronelles. Es realitzarà una sol·licitud per cada alumne/a, i la bonificació s’aplicarà a les quotes mensuals previstes a l’article 3.</w:t>
      </w:r>
    </w:p>
    <w:p>
      <w:pPr>
        <w:pStyle w:val="P20"/>
        <w:jc w:val="both"/>
        <w:rPr>
          <w:rFonts w:ascii="Arial" w:hAnsi="Arial" w:cstheme="minorBidi"/>
          <w:sz w:val="20"/>
          <w:lang w:val="ca-ES" w:eastAsia="ca-ES"/>
        </w:rPr>
      </w:pPr>
    </w:p>
    <w:p>
      <w:pPr>
        <w:pStyle w:val="P20"/>
        <w:ind w:hanging="360" w:left="720"/>
        <w:jc w:val="both"/>
        <w:rPr>
          <w:rFonts w:ascii="Arial" w:hAnsi="Arial" w:cstheme="minorBidi"/>
          <w:sz w:val="20"/>
          <w:lang w:val="ca-ES" w:eastAsia="ca-ES"/>
        </w:rPr>
      </w:pPr>
      <w:r>
        <w:rPr>
          <w:rFonts w:ascii="Arial" w:hAnsi="Arial" w:cstheme="minorBidi"/>
          <w:sz w:val="20"/>
          <w:lang w:val="es-ES" w:eastAsia="es-ES"/>
        </w:rPr>
        <w:t xml:space="preserve">a. </w:t>
      </w:r>
      <w:r>
        <w:rPr>
          <w:rFonts w:ascii="Arial" w:hAnsi="Arial" w:cstheme="minorBidi"/>
          <w:sz w:val="20"/>
          <w:lang w:val="ca-ES" w:eastAsia="ca-ES"/>
        </w:rPr>
        <w:t xml:space="preserve">Referent a la bonificació dels preus públics corresponents a l'article 3 apartat </w:t>
      </w:r>
      <w:r>
        <w:rPr>
          <w:rFonts w:ascii="Arial" w:hAnsi="Arial" w:cstheme="minorBidi"/>
          <w:i w:val="1"/>
          <w:sz w:val="20"/>
          <w:lang w:val="ca-ES" w:eastAsia="ca-ES"/>
        </w:rPr>
        <w:t>a</w:t>
      </w:r>
      <w:r>
        <w:rPr>
          <w:rFonts w:ascii="Arial" w:hAnsi="Arial" w:cstheme="minorBidi"/>
          <w:sz w:val="20"/>
          <w:lang w:val="ca-ES" w:eastAsia="ca-ES"/>
        </w:rPr>
        <w:t xml:space="preserve"> (servei d’escolarització bàsica), s'aplicarà l'indicat a l'apartat b</w:t>
      </w:r>
      <w:r>
        <w:rPr>
          <w:rFonts w:ascii="Arial" w:hAnsi="Arial" w:cstheme="minorBidi"/>
          <w:i w:val="1"/>
          <w:sz w:val="20"/>
          <w:lang w:val="ca-ES" w:eastAsia="ca-ES"/>
        </w:rPr>
        <w:t>. (*)</w:t>
      </w:r>
      <w:r>
        <w:rPr>
          <w:rFonts w:ascii="Arial" w:hAnsi="Arial" w:cstheme="minorBidi"/>
          <w:sz w:val="20"/>
          <w:lang w:val="ca-ES" w:eastAsia="ca-ES"/>
        </w:rPr>
        <w:t xml:space="preserve"> </w:t>
      </w:r>
    </w:p>
    <w:p>
      <w:pPr>
        <w:pStyle w:val="P20"/>
        <w:ind w:hanging="360" w:left="720"/>
        <w:jc w:val="both"/>
        <w:rPr>
          <w:rFonts w:ascii="Arial" w:hAnsi="Arial" w:cstheme="minorBidi"/>
          <w:sz w:val="20"/>
          <w:lang w:val="ca-ES" w:eastAsia="ca-ES"/>
        </w:rPr>
      </w:pPr>
      <w:r>
        <w:rPr>
          <w:rFonts w:ascii="Arial" w:hAnsi="Arial" w:cstheme="minorBidi"/>
          <w:sz w:val="20"/>
          <w:lang w:val="es-ES" w:eastAsia="es-ES"/>
        </w:rPr>
        <w:t xml:space="preserve">b. </w:t>
      </w:r>
      <w:r>
        <w:rPr>
          <w:rFonts w:ascii="Arial" w:hAnsi="Arial" w:cstheme="minorBidi"/>
          <w:sz w:val="20"/>
          <w:lang w:val="ca-ES" w:eastAsia="ca-ES"/>
        </w:rPr>
        <w:t>Quan els infants siguin menors d’1 any, a més dels requisits econòmics (</w:t>
      </w:r>
      <w:r>
        <w:rPr>
          <w:rFonts w:ascii="Arial" w:hAnsi="Arial" w:cstheme="minorBidi"/>
          <w:i w:val="1"/>
          <w:sz w:val="20"/>
          <w:lang w:val="ca-ES" w:eastAsia="ca-ES"/>
        </w:rPr>
        <w:t>b</w:t>
      </w:r>
      <w:r>
        <w:rPr>
          <w:rFonts w:ascii="Arial" w:hAnsi="Arial" w:cstheme="minorBidi"/>
          <w:sz w:val="20"/>
          <w:lang w:val="ca-ES" w:eastAsia="ca-ES"/>
        </w:rPr>
        <w:t>), hauran de complir els requisits que s'estableixen a l'article 5.4.</w:t>
      </w:r>
    </w:p>
    <w:p>
      <w:pPr>
        <w:pStyle w:val="P20"/>
        <w:jc w:val="both"/>
        <w:rPr>
          <w:rFonts w:ascii="Arial" w:hAnsi="Arial" w:cstheme="minorBidi"/>
          <w:i w:val="1"/>
          <w:sz w:val="20"/>
          <w:lang w:val="ca-ES" w:eastAsia="ca-ES"/>
        </w:rPr>
      </w:pPr>
    </w:p>
    <w:p>
      <w:pPr>
        <w:pStyle w:val="P20"/>
        <w:jc w:val="both"/>
        <w:rPr>
          <w:rFonts w:ascii="Arial" w:hAnsi="Arial" w:cstheme="minorBidi"/>
          <w:sz w:val="20"/>
          <w:lang w:val="ca-ES" w:eastAsia="ca-ES"/>
        </w:rPr>
      </w:pPr>
      <w:r>
        <w:rPr>
          <w:rFonts w:ascii="Arial" w:hAnsi="Arial" w:cstheme="minorBidi"/>
          <w:i w:val="1"/>
          <w:sz w:val="20"/>
          <w:lang w:val="ca-ES" w:eastAsia="ca-ES"/>
        </w:rPr>
        <w:t xml:space="preserve">(*) </w:t>
      </w:r>
      <w:r>
        <w:rPr>
          <w:rFonts w:ascii="Arial" w:hAnsi="Arial" w:cstheme="minorBidi"/>
          <w:sz w:val="20"/>
          <w:lang w:val="ca-ES" w:eastAsia="ca-ES"/>
        </w:rPr>
        <w:t>Mentre es mantengui la gratuïtat del servei ordinari d’escolarització de setembre a juny, les bonificacions regulades en aquest apartat només seran aplicables a les quotes mensuals del servei d’escolarització bàsica que no estiguin cobertes pels convenis o instruments de finançament corresponents.</w:t>
      </w:r>
      <w:r>
        <w:rPr>
          <w:rFonts w:ascii="Arial" w:hAnsi="Arial" w:cstheme="minorBidi"/>
          <w:sz w:val="20"/>
          <w:lang w:val="es-ES" w:eastAsia="es-ES"/>
        </w:rPr>
        <w:t>"</w:t>
      </w:r>
    </w:p>
    <w:p>
      <w:pPr>
        <w:jc w:val="both"/>
        <w:rPr>
          <w:rFonts w:ascii="Arial" w:hAnsi="Arial" w:cstheme="minorBidi"/>
          <w:strike w:val="1"/>
          <w:sz w:val="20"/>
          <w:lang w:val="ca-ES" w:eastAsia="ca-ES"/>
        </w:rPr>
      </w:pPr>
    </w:p>
    <w:p>
      <w:pPr>
        <w:pStyle w:val="P20"/>
        <w:jc w:val="both"/>
        <w:rPr>
          <w:rFonts w:ascii="Arial" w:hAnsi="Arial" w:cstheme="minorBidi"/>
          <w:sz w:val="20"/>
          <w:lang w:val="ca-ES" w:eastAsia="ca-ES"/>
        </w:rPr>
      </w:pPr>
      <w:r>
        <w:rPr>
          <w:rFonts w:ascii="Arial" w:hAnsi="Arial" w:cstheme="minorBidi"/>
          <w:i w:val="1"/>
          <w:sz w:val="20"/>
          <w:lang w:val="ca-ES" w:eastAsia="ca-ES"/>
        </w:rPr>
        <w:t>b)</w:t>
      </w:r>
      <w:r>
        <w:rPr>
          <w:rFonts w:ascii="Arial" w:hAnsi="Arial" w:cstheme="minorBidi"/>
          <w:sz w:val="20"/>
          <w:lang w:val="ca-ES" w:eastAsia="ca-ES"/>
        </w:rPr>
        <w:t xml:space="preserve"> El factor determinant serà el total de renda familiar disponible associat al nombre de membres de la unitat familiar. Per establir la base de càlcul anual de la unitat familiar i saber en quin tram de bonificació es troba, es calcula la suma dels ingressos anuals que, per qualsevol concepte, percep aquesta unitat i es relaciona el total d'ingressos amb el nombre total de membres de la unitat familiar.</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Es computaran com a ingressos familiars la totalitat dels ingressos de la unitat familiar durant l’any corresponent al darrer exercici fiscal liquidat en el moment de cada convocatòria.</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A l'efecte del càlcul dels ingressos familiars, són membres computables de la unitat familiar:</w:t>
      </w:r>
    </w:p>
    <w:p>
      <w:pPr>
        <w:pStyle w:val="P20"/>
        <w:jc w:val="both"/>
        <w:rPr>
          <w:rFonts w:ascii="Arial" w:hAnsi="Arial" w:cstheme="minorBidi"/>
          <w:sz w:val="20"/>
          <w:lang w:val="ca-ES" w:eastAsia="ca-ES"/>
        </w:rPr>
      </w:pPr>
      <w:r>
        <w:rPr>
          <w:rFonts w:ascii="Arial" w:hAnsi="Arial" w:cstheme="minorBidi"/>
          <w:sz w:val="20"/>
          <w:lang w:val="ca-ES" w:eastAsia="ca-ES"/>
        </w:rPr>
        <w:t xml:space="preserve"> </w:t>
        <w:tab/>
      </w:r>
    </w:p>
    <w:p>
      <w:pPr>
        <w:pStyle w:val="P20"/>
        <w:numPr>
          <w:ilvl w:val="0"/>
          <w:numId w:val="3"/>
        </w:numPr>
        <w:jc w:val="both"/>
        <w:rPr>
          <w:rFonts w:ascii="Arial" w:hAnsi="Arial" w:cstheme="minorBidi"/>
          <w:sz w:val="20"/>
          <w:lang w:val="ca-ES" w:eastAsia="ca-ES"/>
        </w:rPr>
      </w:pPr>
      <w:r>
        <w:rPr>
          <w:rFonts w:ascii="Arial" w:hAnsi="Arial" w:cstheme="minorBidi"/>
          <w:sz w:val="20"/>
          <w:lang w:val="ca-ES" w:eastAsia="ca-ES"/>
        </w:rPr>
        <w:t>L’alumnat per al qual se sol·licita la bonificació.</w:t>
      </w:r>
    </w:p>
    <w:p>
      <w:pPr>
        <w:pStyle w:val="P20"/>
        <w:numPr>
          <w:ilvl w:val="0"/>
          <w:numId w:val="3"/>
        </w:numPr>
        <w:jc w:val="both"/>
        <w:rPr>
          <w:rFonts w:ascii="Arial" w:hAnsi="Arial" w:cstheme="minorBidi"/>
          <w:sz w:val="20"/>
          <w:lang w:val="ca-ES" w:eastAsia="ca-ES"/>
        </w:rPr>
      </w:pPr>
      <w:r>
        <w:rPr>
          <w:rFonts w:ascii="Arial" w:hAnsi="Arial" w:cstheme="minorBidi"/>
          <w:sz w:val="20"/>
          <w:lang w:val="ca-ES" w:eastAsia="ca-ES"/>
        </w:rPr>
        <w:t>El pare i la mare o les persones tutores legals de l’alumne/a (ingressos considerats al 100%). En cas de divorci o separació legal, si la guarda i custòdia de l'infant és compartida, es tindran en compte igualment les dues rendes. Si la guarda i custòdia de l'infant s’atribueix a una sola persona tutora, no serà membre computable l’ex cònjuge que no convisqui amb l'infant.</w:t>
      </w:r>
    </w:p>
    <w:p>
      <w:pPr>
        <w:pStyle w:val="P20"/>
        <w:numPr>
          <w:ilvl w:val="0"/>
          <w:numId w:val="3"/>
        </w:numPr>
        <w:jc w:val="both"/>
        <w:rPr>
          <w:rFonts w:ascii="Arial" w:hAnsi="Arial" w:cstheme="minorBidi"/>
          <w:sz w:val="20"/>
          <w:lang w:val="ca-ES" w:eastAsia="ca-ES"/>
        </w:rPr>
      </w:pPr>
      <w:r>
        <w:rPr>
          <w:rFonts w:ascii="Arial" w:hAnsi="Arial" w:cstheme="minorBidi"/>
          <w:sz w:val="20"/>
          <w:lang w:val="ca-ES" w:eastAsia="ca-ES"/>
        </w:rPr>
        <w:t>Els germans i germanes menors de 25 anys que convisquin al domicili familiar el 31 de desembre de l’any anterior (ingressos considerats al 50%).</w:t>
      </w:r>
    </w:p>
    <w:p>
      <w:pPr>
        <w:pStyle w:val="P20"/>
        <w:numPr>
          <w:ilvl w:val="0"/>
          <w:numId w:val="3"/>
        </w:numPr>
        <w:jc w:val="both"/>
        <w:rPr>
          <w:rFonts w:ascii="Arial" w:hAnsi="Arial" w:cstheme="minorBidi"/>
          <w:sz w:val="20"/>
          <w:lang w:val="ca-ES" w:eastAsia="ca-ES"/>
        </w:rPr>
      </w:pPr>
      <w:r>
        <w:rPr>
          <w:rFonts w:ascii="Arial" w:hAnsi="Arial" w:cstheme="minorBidi"/>
          <w:sz w:val="20"/>
          <w:lang w:val="ca-ES" w:eastAsia="ca-ES"/>
        </w:rPr>
        <w:t xml:space="preserve">Els germans i germanes majors de 25 anys només amb </w:t>
      </w:r>
      <w:r>
        <w:rPr>
          <w:rFonts w:ascii="Arial" w:hAnsi="Arial" w:cstheme="minorBidi"/>
          <w:sz w:val="20"/>
          <w:lang w:val="es-ES" w:eastAsia="es-ES"/>
        </w:rPr>
        <w:t xml:space="preserve">dependència o </w:t>
      </w:r>
      <w:r>
        <w:rPr>
          <w:rFonts w:ascii="Arial" w:hAnsi="Arial" w:cstheme="minorBidi"/>
          <w:sz w:val="20"/>
          <w:lang w:val="ca-ES" w:eastAsia="ca-ES"/>
        </w:rPr>
        <w:t>discapacitat física, psíquica o sensorial (els seus ingressos, si s’escau, es consideren al 50%).</w:t>
      </w:r>
    </w:p>
    <w:p>
      <w:pPr>
        <w:pStyle w:val="P20"/>
        <w:ind w:left="108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La renda es calcularà de la manera següent:</w:t>
      </w:r>
    </w:p>
    <w:p>
      <w:pPr>
        <w:pStyle w:val="P20"/>
        <w:jc w:val="both"/>
        <w:rPr>
          <w:rFonts w:ascii="Arial" w:hAnsi="Arial" w:cstheme="minorBidi"/>
          <w:sz w:val="20"/>
          <w:lang w:val="ca-ES" w:eastAsia="ca-ES"/>
        </w:rPr>
      </w:pPr>
    </w:p>
    <w:p>
      <w:pPr>
        <w:pStyle w:val="P20"/>
        <w:numPr>
          <w:ilvl w:val="0"/>
          <w:numId w:val="4"/>
        </w:numPr>
        <w:jc w:val="both"/>
        <w:rPr>
          <w:rFonts w:ascii="Arial" w:hAnsi="Arial" w:cstheme="minorBidi"/>
          <w:sz w:val="20"/>
          <w:lang w:val="ca-ES" w:eastAsia="ca-ES"/>
        </w:rPr>
      </w:pPr>
      <w:r>
        <w:rPr>
          <w:rFonts w:ascii="Arial" w:hAnsi="Arial" w:cstheme="minorBidi"/>
          <w:sz w:val="20"/>
          <w:lang w:val="ca-ES" w:eastAsia="ca-ES"/>
        </w:rPr>
        <w:t>Per als membres de la família que hagin presentat declaració de l’IRPF, se sumarà la base imposable general amb la base imposable de l’estalvi, i se n'exclouran els saldos nets negatius de pèrdues i guanys patrimonials corresponents a exercicis anteriors, així com el saldo net negatiu de rendiments de capital mobiliari que constitueixin la renda de l’estalvi corresponent a exercicis anteriors.</w:t>
      </w:r>
    </w:p>
    <w:p>
      <w:pPr>
        <w:pStyle w:val="P20"/>
        <w:numPr>
          <w:ilvl w:val="0"/>
          <w:numId w:val="5"/>
        </w:numPr>
        <w:jc w:val="both"/>
        <w:rPr>
          <w:rFonts w:ascii="Arial" w:hAnsi="Arial" w:cstheme="minorBidi"/>
          <w:sz w:val="20"/>
          <w:lang w:val="ca-ES" w:eastAsia="ca-ES"/>
        </w:rPr>
      </w:pPr>
      <w:r>
        <w:rPr>
          <w:rFonts w:ascii="Arial" w:hAnsi="Arial" w:cstheme="minorBidi"/>
          <w:sz w:val="20"/>
          <w:lang w:val="ca-ES" w:eastAsia="ca-ES"/>
        </w:rPr>
        <w:t>Per als membres de la família que obtenguin ingressos propis però que no hagin presentat declaració de l’IRPF, que presentaran certificat d’imputacions d’Hisenda, se sumarà la base imposable general amb la base imposable de l’estalvi, i se n'exclouran els saldos nets negatius de pèrdues i guanys patrimonials corresponents a exercicis anteriors, així com el saldo net negatiu de rendiments de capital mobiliari que constitueixin la renda de l’estalvi corresponent a exercicis anteriors.</w:t>
      </w:r>
    </w:p>
    <w:p>
      <w:pPr>
        <w:pStyle w:val="P20"/>
        <w:ind w:left="7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Sobre aquest càlcul dels ingressos per unitat familiar es podran aplicar una sèrie de factors de correcció en el cas següent:</w:t>
      </w:r>
    </w:p>
    <w:p>
      <w:pPr>
        <w:pStyle w:val="P20"/>
        <w:jc w:val="both"/>
        <w:rPr>
          <w:rFonts w:ascii="Arial" w:hAnsi="Arial" w:cstheme="minorBidi"/>
          <w:sz w:val="20"/>
          <w:lang w:val="ca-ES" w:eastAsia="ca-ES"/>
        </w:rPr>
      </w:pPr>
    </w:p>
    <w:p>
      <w:pPr>
        <w:pStyle w:val="P20"/>
        <w:numPr>
          <w:ilvl w:val="0"/>
          <w:numId w:val="6"/>
        </w:numPr>
        <w:jc w:val="both"/>
        <w:rPr>
          <w:rFonts w:ascii="Arial" w:hAnsi="Arial" w:cstheme="minorBidi"/>
          <w:sz w:val="20"/>
          <w:lang w:val="ca-ES" w:eastAsia="ca-ES"/>
        </w:rPr>
      </w:pPr>
      <w:r>
        <w:rPr>
          <w:rFonts w:ascii="Arial" w:hAnsi="Arial" w:cstheme="minorBidi"/>
          <w:sz w:val="20"/>
          <w:lang w:val="ca-ES" w:eastAsia="ca-ES"/>
        </w:rPr>
        <w:t xml:space="preserve">Quan hi hagi un infant en acolliment, es considerarà com a membre de la unitat familiar. </w:t>
      </w:r>
    </w:p>
    <w:p>
      <w:pPr>
        <w:pStyle w:val="P20"/>
        <w:jc w:val="both"/>
        <w:rPr>
          <w:rFonts w:ascii="Arial" w:hAnsi="Arial" w:cstheme="minorBidi"/>
          <w:b w:val="1"/>
          <w:sz w:val="20"/>
          <w:lang w:val="ca-ES" w:eastAsia="ca-ES"/>
        </w:rPr>
      </w:pPr>
    </w:p>
    <w:p>
      <w:pPr>
        <w:pStyle w:val="P20"/>
        <w:jc w:val="both"/>
        <w:rPr>
          <w:rFonts w:ascii="Arial" w:hAnsi="Arial" w:cstheme="minorBidi"/>
          <w:sz w:val="20"/>
          <w:lang w:val="ca-ES" w:eastAsia="ca-ES"/>
        </w:rPr>
      </w:pPr>
      <w:r>
        <w:rPr>
          <w:rFonts w:ascii="Arial" w:hAnsi="Arial" w:cstheme="minorBidi"/>
          <w:b w:val="1"/>
          <w:sz w:val="20"/>
          <w:lang w:val="ca-ES" w:eastAsia="ca-ES"/>
        </w:rPr>
        <w:t>Llindars de renda</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Els llindars de renda anual que no pot superar la unitat familiar per tenir dret a una bonificació, i que es calcularan anualment en funció de l’indicador públic de renda d’efectes múltiples (IPREM), són els següents:</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p>
    <w:tbl>
      <w:tblPr>
        <w:tblW w:w="0" w:type="auto"/>
        <w:tblInd w:w="425" w:type="dxa"/>
        <w:tblLayout w:type="fixed"/>
        <w:tblCellMar>
          <w:left w:w="0" w:type="dxa"/>
          <w:right w:w="0" w:type="dxa"/>
        </w:tblCellMar>
      </w:tblPr>
      <w:tblGrid/>
      <w:tr>
        <w:tc>
          <w:tcPr>
            <w:tcW w:w="5693"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pStyle w:val="P20"/>
              <w:widowControl w:val="0"/>
              <w:jc w:val="both"/>
              <w:rPr>
                <w:rFonts w:ascii="Arial" w:hAnsi="Arial" w:cstheme="minorBidi"/>
                <w:sz w:val="20"/>
                <w:lang w:val="ca-ES" w:eastAsia="ca-ES"/>
              </w:rPr>
            </w:pPr>
            <w:r>
              <w:rPr>
                <w:rFonts w:ascii="Arial" w:hAnsi="Arial" w:cstheme="minorBidi"/>
                <w:i w:val="1"/>
                <w:sz w:val="20"/>
                <w:lang w:val="ca-ES" w:eastAsia="ca-ES"/>
              </w:rPr>
              <w:t>Membres de la unitat familiar</w:t>
            </w:r>
          </w:p>
        </w:tc>
        <w:tc>
          <w:tcPr>
            <w:tcW w:w="3945"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pStyle w:val="P20"/>
              <w:widowControl w:val="0"/>
              <w:jc w:val="both"/>
              <w:rPr>
                <w:rFonts w:ascii="Arial" w:hAnsi="Arial" w:cstheme="minorBidi"/>
                <w:sz w:val="20"/>
                <w:lang w:val="ca-ES" w:eastAsia="ca-ES"/>
              </w:rPr>
            </w:pPr>
            <w:r>
              <w:rPr>
                <w:rFonts w:ascii="Arial" w:hAnsi="Arial" w:cstheme="minorBidi"/>
                <w:i w:val="1"/>
                <w:sz w:val="20"/>
                <w:lang w:val="ca-ES" w:eastAsia="ca-ES"/>
              </w:rPr>
              <w:t>Llindar màxim de renda (€/any)</w:t>
            </w:r>
          </w:p>
        </w:tc>
      </w:tr>
      <w:tr>
        <w:tc>
          <w:tcPr>
            <w:tcW w:w="5693"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pStyle w:val="P20"/>
              <w:widowControl w:val="0"/>
              <w:jc w:val="both"/>
              <w:rPr>
                <w:rFonts w:ascii="Arial" w:hAnsi="Arial" w:cstheme="minorBidi"/>
                <w:sz w:val="20"/>
                <w:lang w:val="ca-ES" w:eastAsia="ca-ES"/>
              </w:rPr>
            </w:pPr>
            <w:r>
              <w:rPr>
                <w:rFonts w:ascii="Arial" w:hAnsi="Arial" w:cstheme="minorBidi"/>
                <w:sz w:val="20"/>
                <w:lang w:val="ca-ES" w:eastAsia="ca-ES"/>
              </w:rPr>
              <w:t>2 membres</w:t>
            </w:r>
          </w:p>
        </w:tc>
        <w:tc>
          <w:tcPr>
            <w:tcW w:w="3945"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pStyle w:val="P20"/>
              <w:widowControl w:val="0"/>
              <w:jc w:val="both"/>
              <w:rPr>
                <w:rFonts w:ascii="Arial" w:hAnsi="Arial" w:cstheme="minorBidi"/>
                <w:sz w:val="20"/>
                <w:lang w:val="ca-ES" w:eastAsia="ca-ES"/>
              </w:rPr>
            </w:pPr>
            <w:r>
              <w:rPr>
                <w:rFonts w:ascii="Arial" w:hAnsi="Arial" w:cstheme="minorBidi"/>
                <w:sz w:val="20"/>
                <w:lang w:val="ca-ES" w:eastAsia="ca-ES"/>
              </w:rPr>
              <w:t>IPREM x 2,475</w:t>
            </w:r>
          </w:p>
        </w:tc>
      </w:tr>
      <w:tr>
        <w:tc>
          <w:tcPr>
            <w:tcW w:w="5693"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pStyle w:val="P20"/>
              <w:widowControl w:val="0"/>
              <w:jc w:val="both"/>
              <w:rPr>
                <w:rFonts w:ascii="Arial" w:hAnsi="Arial" w:cstheme="minorBidi"/>
                <w:sz w:val="20"/>
                <w:lang w:val="ca-ES" w:eastAsia="ca-ES"/>
              </w:rPr>
            </w:pPr>
            <w:r>
              <w:rPr>
                <w:rFonts w:ascii="Arial" w:hAnsi="Arial" w:cstheme="minorBidi"/>
                <w:sz w:val="20"/>
                <w:lang w:val="ca-ES" w:eastAsia="ca-ES"/>
              </w:rPr>
              <w:t>3 membres</w:t>
            </w:r>
          </w:p>
        </w:tc>
        <w:tc>
          <w:tcPr>
            <w:tcW w:w="3945"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pStyle w:val="P20"/>
              <w:widowControl w:val="0"/>
              <w:jc w:val="both"/>
              <w:rPr>
                <w:rFonts w:ascii="Arial" w:hAnsi="Arial" w:cstheme="minorBidi"/>
                <w:sz w:val="20"/>
                <w:lang w:val="ca-ES" w:eastAsia="ca-ES"/>
              </w:rPr>
            </w:pPr>
            <w:r>
              <w:rPr>
                <w:rFonts w:ascii="Arial" w:hAnsi="Arial" w:cstheme="minorBidi"/>
                <w:sz w:val="20"/>
                <w:lang w:val="ca-ES" w:eastAsia="ca-ES"/>
              </w:rPr>
              <w:t>IPREM x 2,775</w:t>
            </w:r>
          </w:p>
        </w:tc>
      </w:tr>
      <w:tr>
        <w:tc>
          <w:tcPr>
            <w:tcW w:w="5693"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pStyle w:val="P20"/>
              <w:widowControl w:val="0"/>
              <w:jc w:val="both"/>
              <w:rPr>
                <w:rFonts w:ascii="Arial" w:hAnsi="Arial" w:cstheme="minorBidi"/>
                <w:sz w:val="20"/>
                <w:lang w:val="ca-ES" w:eastAsia="ca-ES"/>
              </w:rPr>
            </w:pPr>
            <w:r>
              <w:rPr>
                <w:rFonts w:ascii="Arial" w:hAnsi="Arial" w:cstheme="minorBidi"/>
                <w:sz w:val="20"/>
                <w:lang w:val="ca-ES" w:eastAsia="ca-ES"/>
              </w:rPr>
              <w:t>4 membres</w:t>
            </w:r>
          </w:p>
        </w:tc>
        <w:tc>
          <w:tcPr>
            <w:tcW w:w="3945"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pStyle w:val="P20"/>
              <w:widowControl w:val="0"/>
              <w:jc w:val="both"/>
              <w:rPr>
                <w:rFonts w:ascii="Arial" w:hAnsi="Arial" w:cstheme="minorBidi"/>
                <w:sz w:val="20"/>
                <w:lang w:val="ca-ES" w:eastAsia="ca-ES"/>
              </w:rPr>
            </w:pPr>
            <w:r>
              <w:rPr>
                <w:rFonts w:ascii="Arial" w:hAnsi="Arial" w:cstheme="minorBidi"/>
                <w:sz w:val="20"/>
                <w:lang w:val="ca-ES" w:eastAsia="ca-ES"/>
              </w:rPr>
              <w:t>IPREM x 3,025</w:t>
            </w:r>
          </w:p>
        </w:tc>
      </w:tr>
      <w:tr>
        <w:tc>
          <w:tcPr>
            <w:tcW w:w="5693"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pStyle w:val="P20"/>
              <w:widowControl w:val="0"/>
              <w:jc w:val="both"/>
              <w:rPr>
                <w:rFonts w:ascii="Arial" w:hAnsi="Arial" w:cstheme="minorBidi"/>
                <w:sz w:val="20"/>
                <w:lang w:val="ca-ES" w:eastAsia="ca-ES"/>
              </w:rPr>
            </w:pPr>
            <w:r>
              <w:rPr>
                <w:rFonts w:ascii="Arial" w:hAnsi="Arial" w:cstheme="minorBidi"/>
                <w:sz w:val="20"/>
                <w:lang w:val="ca-ES" w:eastAsia="ca-ES"/>
              </w:rPr>
              <w:t>5 membres</w:t>
            </w:r>
          </w:p>
        </w:tc>
        <w:tc>
          <w:tcPr>
            <w:tcW w:w="3945"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pStyle w:val="P20"/>
              <w:widowControl w:val="0"/>
              <w:jc w:val="both"/>
              <w:rPr>
                <w:rFonts w:ascii="Arial" w:hAnsi="Arial" w:cstheme="minorBidi"/>
                <w:sz w:val="20"/>
                <w:lang w:val="ca-ES" w:eastAsia="ca-ES"/>
              </w:rPr>
            </w:pPr>
            <w:r>
              <w:rPr>
                <w:rFonts w:ascii="Arial" w:hAnsi="Arial" w:cstheme="minorBidi"/>
                <w:sz w:val="20"/>
                <w:lang w:val="ca-ES" w:eastAsia="ca-ES"/>
              </w:rPr>
              <w:t>IPREM x 3,275</w:t>
            </w:r>
          </w:p>
        </w:tc>
      </w:tr>
      <w:tr>
        <w:tc>
          <w:tcPr>
            <w:tcW w:w="5693"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pStyle w:val="P20"/>
              <w:widowControl w:val="0"/>
              <w:jc w:val="both"/>
              <w:rPr>
                <w:rFonts w:ascii="Arial" w:hAnsi="Arial" w:cstheme="minorBidi"/>
                <w:sz w:val="20"/>
                <w:lang w:val="ca-ES" w:eastAsia="ca-ES"/>
              </w:rPr>
            </w:pPr>
            <w:r>
              <w:rPr>
                <w:rFonts w:ascii="Arial" w:hAnsi="Arial" w:cstheme="minorBidi"/>
                <w:sz w:val="20"/>
                <w:lang w:val="ca-ES" w:eastAsia="ca-ES"/>
              </w:rPr>
              <w:t>6 membres</w:t>
            </w:r>
          </w:p>
        </w:tc>
        <w:tc>
          <w:tcPr>
            <w:tcW w:w="3945"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pStyle w:val="P20"/>
              <w:widowControl w:val="0"/>
              <w:jc w:val="both"/>
              <w:rPr>
                <w:rFonts w:ascii="Arial" w:hAnsi="Arial" w:cstheme="minorBidi"/>
                <w:sz w:val="20"/>
                <w:lang w:val="ca-ES" w:eastAsia="ca-ES"/>
              </w:rPr>
            </w:pPr>
            <w:r>
              <w:rPr>
                <w:rFonts w:ascii="Arial" w:hAnsi="Arial" w:cstheme="minorBidi"/>
                <w:sz w:val="20"/>
                <w:lang w:val="ca-ES" w:eastAsia="ca-ES"/>
              </w:rPr>
              <w:t>IPREM x 3,525</w:t>
            </w:r>
          </w:p>
        </w:tc>
      </w:tr>
      <w:tr>
        <w:tc>
          <w:tcPr>
            <w:tcW w:w="5693"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pStyle w:val="P20"/>
              <w:widowControl w:val="0"/>
              <w:jc w:val="both"/>
              <w:rPr>
                <w:rFonts w:ascii="Arial" w:hAnsi="Arial" w:cstheme="minorBidi"/>
                <w:sz w:val="20"/>
                <w:lang w:val="ca-ES" w:eastAsia="ca-ES"/>
              </w:rPr>
            </w:pPr>
            <w:r>
              <w:rPr>
                <w:rFonts w:ascii="Arial" w:hAnsi="Arial" w:cstheme="minorBidi"/>
                <w:sz w:val="20"/>
                <w:lang w:val="ca-ES" w:eastAsia="ca-ES"/>
              </w:rPr>
              <w:t>7 membres</w:t>
            </w:r>
          </w:p>
        </w:tc>
        <w:tc>
          <w:tcPr>
            <w:tcW w:w="3945"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pStyle w:val="P20"/>
              <w:widowControl w:val="0"/>
              <w:jc w:val="both"/>
              <w:rPr>
                <w:rFonts w:ascii="Arial" w:hAnsi="Arial" w:cstheme="minorBidi"/>
                <w:sz w:val="20"/>
                <w:lang w:val="ca-ES" w:eastAsia="ca-ES"/>
              </w:rPr>
            </w:pPr>
            <w:r>
              <w:rPr>
                <w:rFonts w:ascii="Arial" w:hAnsi="Arial" w:cstheme="minorBidi"/>
                <w:sz w:val="20"/>
                <w:lang w:val="ca-ES" w:eastAsia="ca-ES"/>
              </w:rPr>
              <w:t>IPREM x 3,775</w:t>
            </w:r>
          </w:p>
        </w:tc>
      </w:tr>
      <w:tr>
        <w:tc>
          <w:tcPr>
            <w:tcW w:w="5693"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pStyle w:val="P20"/>
              <w:widowControl w:val="0"/>
              <w:jc w:val="both"/>
              <w:rPr>
                <w:rFonts w:ascii="Arial" w:hAnsi="Arial" w:cstheme="minorBidi"/>
                <w:sz w:val="20"/>
                <w:lang w:val="ca-ES" w:eastAsia="ca-ES"/>
              </w:rPr>
            </w:pPr>
            <w:r>
              <w:rPr>
                <w:rFonts w:ascii="Arial" w:hAnsi="Arial" w:cstheme="minorBidi"/>
                <w:sz w:val="20"/>
                <w:lang w:val="ca-ES" w:eastAsia="ca-ES"/>
              </w:rPr>
              <w:t>8 membres</w:t>
            </w:r>
          </w:p>
        </w:tc>
        <w:tc>
          <w:tcPr>
            <w:tcW w:w="3945" w:type="dxa"/>
            <w:tcBorders>
              <w:top w:val="single" w:sz="8" w:space="0" w:shadow="0" w:frame="0" w:color="000000"/>
              <w:left w:val="single" w:sz="8" w:space="0" w:shadow="0" w:frame="0" w:color="000000"/>
              <w:bottom w:val="single" w:sz="8" w:space="0" w:shadow="0" w:frame="0" w:color="000000"/>
              <w:right w:val="single" w:sz="8" w:space="0" w:shadow="0" w:frame="0" w:color="000000"/>
            </w:tcBorders>
            <w:tcMar>
              <w:top w:w="100" w:type="dxa"/>
              <w:left w:w="100" w:type="dxa"/>
              <w:bottom w:w="100" w:type="dxa"/>
              <w:right w:w="100" w:type="dxa"/>
            </w:tcMar>
          </w:tcPr>
          <w:p>
            <w:pPr>
              <w:pStyle w:val="P20"/>
              <w:widowControl w:val="0"/>
              <w:jc w:val="both"/>
              <w:rPr>
                <w:rFonts w:ascii="Arial" w:hAnsi="Arial" w:cstheme="minorBidi"/>
                <w:sz w:val="20"/>
                <w:lang w:val="ca-ES" w:eastAsia="ca-ES"/>
              </w:rPr>
            </w:pPr>
            <w:r>
              <w:rPr>
                <w:rFonts w:ascii="Arial" w:hAnsi="Arial" w:cstheme="minorBidi"/>
                <w:sz w:val="20"/>
                <w:lang w:val="ca-ES" w:eastAsia="ca-ES"/>
              </w:rPr>
              <w:t>IPREM x 4,025</w:t>
            </w:r>
          </w:p>
        </w:tc>
      </w:tr>
    </w:tbl>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A partir del vuitè membre de la unitat familiar, s’afegirà un 10% per cada nou membre computable de la unitat familiar.</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Quantia de les bonificacions per escolarització a l’escola infantil:</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Es determinen quatre tipus de bonificacions (100 %, 75 %, 50 % i 25 %), en funció de la renda calculada per a la unitat familiar i el nombre de membres d'aquesta. La renda familiar anual</w:t>
      </w:r>
      <w:r>
        <w:rPr>
          <w:rFonts w:ascii="Arial" w:hAnsi="Arial" w:cstheme="minorBidi"/>
          <w:b w:val="1"/>
          <w:sz w:val="20"/>
          <w:lang w:val="ca-ES" w:eastAsia="ca-ES"/>
        </w:rPr>
        <w:t xml:space="preserve"> </w:t>
      </w:r>
      <w:r>
        <w:rPr>
          <w:rFonts w:ascii="Arial" w:hAnsi="Arial" w:cstheme="minorBidi"/>
          <w:sz w:val="20"/>
          <w:lang w:val="ca-ES" w:eastAsia="ca-ES"/>
        </w:rPr>
        <w:t>no pot superar les quantitats de la taula següent:</w:t>
      </w:r>
    </w:p>
    <w:p>
      <w:pPr>
        <w:pStyle w:val="P20"/>
        <w:jc w:val="both"/>
        <w:rPr>
          <w:rFonts w:ascii="Arial" w:hAnsi="Arial" w:cstheme="minorBidi"/>
          <w:sz w:val="20"/>
          <w:lang w:val="ca-ES" w:eastAsia="ca-ES"/>
        </w:rPr>
      </w:pPr>
    </w:p>
    <w:tbl>
      <w:tblPr>
        <w:tblW w:w="0" w:type="auto"/>
        <w:tblInd w:w="412" w:type="dxa"/>
        <w:tblLayout w:type="fixed"/>
        <w:tblCellMar>
          <w:left w:w="0" w:type="dxa"/>
          <w:right w:w="0" w:type="dxa"/>
        </w:tblCellMar>
      </w:tblPr>
      <w:tblGrid/>
      <w:tr>
        <w:tc>
          <w:tcPr>
            <w:tcW w:w="2407"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i w:val="1"/>
                <w:sz w:val="20"/>
                <w:lang w:val="ca-ES" w:eastAsia="ca-ES"/>
              </w:rPr>
              <w:t>Membres de la unitat familiar</w:t>
            </w:r>
          </w:p>
        </w:tc>
        <w:tc>
          <w:tcPr>
            <w:tcW w:w="1803"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i w:val="1"/>
                <w:sz w:val="20"/>
                <w:lang w:val="ca-ES" w:eastAsia="ca-ES"/>
              </w:rPr>
              <w:t>0% de les quotes</w:t>
            </w:r>
          </w:p>
        </w:tc>
        <w:tc>
          <w:tcPr>
            <w:tcW w:w="1820"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i w:val="1"/>
                <w:sz w:val="20"/>
                <w:lang w:val="ca-ES" w:eastAsia="ca-ES"/>
              </w:rPr>
              <w:t>25% de les quotes</w:t>
            </w:r>
          </w:p>
        </w:tc>
        <w:tc>
          <w:tcPr>
            <w:tcW w:w="1817"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i w:val="1"/>
                <w:sz w:val="20"/>
                <w:lang w:val="ca-ES" w:eastAsia="ca-ES"/>
              </w:rPr>
              <w:t>50% de les quotes</w:t>
            </w:r>
          </w:p>
        </w:tc>
        <w:tc>
          <w:tcPr>
            <w:tcW w:w="1791"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i w:val="1"/>
                <w:sz w:val="20"/>
                <w:lang w:val="ca-ES" w:eastAsia="ca-ES"/>
              </w:rPr>
              <w:t>75% de les quotes</w:t>
            </w:r>
          </w:p>
        </w:tc>
      </w:tr>
      <w:tr>
        <w:tc>
          <w:tcPr>
            <w:tcW w:w="2407"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2 membres</w:t>
            </w:r>
          </w:p>
        </w:tc>
        <w:tc>
          <w:tcPr>
            <w:tcW w:w="1803"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1,5</w:t>
            </w:r>
          </w:p>
        </w:tc>
        <w:tc>
          <w:tcPr>
            <w:tcW w:w="1820"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1,825</w:t>
            </w:r>
          </w:p>
        </w:tc>
        <w:tc>
          <w:tcPr>
            <w:tcW w:w="1817"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2,15</w:t>
            </w:r>
          </w:p>
        </w:tc>
        <w:tc>
          <w:tcPr>
            <w:tcW w:w="1791"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2,475</w:t>
            </w:r>
          </w:p>
        </w:tc>
      </w:tr>
      <w:tr>
        <w:tc>
          <w:tcPr>
            <w:tcW w:w="2407"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3 membres</w:t>
            </w:r>
          </w:p>
        </w:tc>
        <w:tc>
          <w:tcPr>
            <w:tcW w:w="1803"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1,65</w:t>
            </w:r>
          </w:p>
        </w:tc>
        <w:tc>
          <w:tcPr>
            <w:tcW w:w="1820"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2,025</w:t>
            </w:r>
          </w:p>
        </w:tc>
        <w:tc>
          <w:tcPr>
            <w:tcW w:w="1817"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2,4</w:t>
            </w:r>
          </w:p>
        </w:tc>
        <w:tc>
          <w:tcPr>
            <w:tcW w:w="1791"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2,775</w:t>
            </w:r>
          </w:p>
        </w:tc>
      </w:tr>
      <w:tr>
        <w:tc>
          <w:tcPr>
            <w:tcW w:w="2407"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4 membres</w:t>
            </w:r>
          </w:p>
        </w:tc>
        <w:tc>
          <w:tcPr>
            <w:tcW w:w="1803"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1,725</w:t>
            </w:r>
          </w:p>
        </w:tc>
        <w:tc>
          <w:tcPr>
            <w:tcW w:w="1820"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2,125</w:t>
            </w:r>
          </w:p>
        </w:tc>
        <w:tc>
          <w:tcPr>
            <w:tcW w:w="1817"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2,525</w:t>
            </w:r>
          </w:p>
        </w:tc>
        <w:tc>
          <w:tcPr>
            <w:tcW w:w="1791"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3,025</w:t>
            </w:r>
          </w:p>
        </w:tc>
      </w:tr>
      <w:tr>
        <w:tc>
          <w:tcPr>
            <w:tcW w:w="2407"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5 membres</w:t>
            </w:r>
          </w:p>
        </w:tc>
        <w:tc>
          <w:tcPr>
            <w:tcW w:w="1803"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1,8</w:t>
            </w:r>
          </w:p>
        </w:tc>
        <w:tc>
          <w:tcPr>
            <w:tcW w:w="1820"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2,225</w:t>
            </w:r>
          </w:p>
        </w:tc>
        <w:tc>
          <w:tcPr>
            <w:tcW w:w="1817"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2,65</w:t>
            </w:r>
          </w:p>
        </w:tc>
        <w:tc>
          <w:tcPr>
            <w:tcW w:w="1791"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3,275</w:t>
            </w:r>
          </w:p>
        </w:tc>
      </w:tr>
      <w:tr>
        <w:tc>
          <w:tcPr>
            <w:tcW w:w="2407"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6 membres</w:t>
            </w:r>
          </w:p>
        </w:tc>
        <w:tc>
          <w:tcPr>
            <w:tcW w:w="1803"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1,875</w:t>
            </w:r>
          </w:p>
        </w:tc>
        <w:tc>
          <w:tcPr>
            <w:tcW w:w="1820"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2,325</w:t>
            </w:r>
          </w:p>
        </w:tc>
        <w:tc>
          <w:tcPr>
            <w:tcW w:w="1817"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2,775</w:t>
            </w:r>
          </w:p>
        </w:tc>
        <w:tc>
          <w:tcPr>
            <w:tcW w:w="1791"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3,525</w:t>
            </w:r>
          </w:p>
        </w:tc>
      </w:tr>
      <w:tr>
        <w:tc>
          <w:tcPr>
            <w:tcW w:w="2407"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7 membres</w:t>
            </w:r>
          </w:p>
        </w:tc>
        <w:tc>
          <w:tcPr>
            <w:tcW w:w="1803"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1,95</w:t>
            </w:r>
          </w:p>
        </w:tc>
        <w:tc>
          <w:tcPr>
            <w:tcW w:w="1820"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2,425</w:t>
            </w:r>
          </w:p>
        </w:tc>
        <w:tc>
          <w:tcPr>
            <w:tcW w:w="1817"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2,9</w:t>
            </w:r>
          </w:p>
        </w:tc>
        <w:tc>
          <w:tcPr>
            <w:tcW w:w="1791"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3,775</w:t>
            </w:r>
          </w:p>
        </w:tc>
      </w:tr>
      <w:tr>
        <w:tc>
          <w:tcPr>
            <w:tcW w:w="2407"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8 membres</w:t>
            </w:r>
          </w:p>
        </w:tc>
        <w:tc>
          <w:tcPr>
            <w:tcW w:w="1803"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2,025</w:t>
            </w:r>
          </w:p>
        </w:tc>
        <w:tc>
          <w:tcPr>
            <w:tcW w:w="1820"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2,525</w:t>
            </w:r>
          </w:p>
        </w:tc>
        <w:tc>
          <w:tcPr>
            <w:tcW w:w="1817"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3,023</w:t>
            </w:r>
          </w:p>
        </w:tc>
        <w:tc>
          <w:tcPr>
            <w:tcW w:w="1791" w:type="dxa"/>
            <w:tcBorders>
              <w:top w:val="single" w:sz="4" w:space="0" w:shadow="0" w:frame="0" w:color="000000"/>
              <w:left w:val="single" w:sz="4" w:space="0" w:shadow="0" w:frame="0" w:color="000000"/>
              <w:bottom w:val="single" w:sz="4" w:space="0" w:shadow="0" w:frame="0" w:color="000000"/>
              <w:right w:val="single" w:sz="4" w:space="0" w:shadow="0" w:frame="0" w:color="000000"/>
            </w:tcBorders>
            <w:tcMar>
              <w:top w:w="0" w:type="dxa"/>
              <w:left w:w="108" w:type="dxa"/>
              <w:bottom w:w="0" w:type="dxa"/>
              <w:right w:w="108" w:type="dxa"/>
            </w:tcMar>
          </w:tcPr>
          <w:p>
            <w:pPr>
              <w:pStyle w:val="P20"/>
              <w:widowControl w:val="0"/>
              <w:jc w:val="center"/>
              <w:rPr>
                <w:rFonts w:ascii="Arial" w:hAnsi="Arial" w:cstheme="minorBidi"/>
                <w:sz w:val="20"/>
                <w:lang w:val="ca-ES" w:eastAsia="ca-ES"/>
              </w:rPr>
            </w:pPr>
            <w:r>
              <w:rPr>
                <w:rFonts w:ascii="Arial" w:hAnsi="Arial" w:cstheme="minorBidi"/>
                <w:sz w:val="20"/>
                <w:lang w:val="ca-ES" w:eastAsia="ca-ES"/>
              </w:rPr>
              <w:t>IPREM X 4,025</w:t>
            </w:r>
          </w:p>
        </w:tc>
      </w:tr>
    </w:tbl>
    <w:p>
      <w:pPr>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Un cop determinat el percentatge de bonificació que li correspon en funció del tram assignat segons els ingressos familiars (ajustat a la baixa si hi ha persones amb discapacitats a la família), es farà un salt de tram si la persona beneficiària de la bonificació compleix algun dels requisits següents:</w:t>
      </w:r>
    </w:p>
    <w:p>
      <w:pPr>
        <w:pStyle w:val="P20"/>
        <w:jc w:val="both"/>
        <w:rPr>
          <w:rFonts w:ascii="Arial" w:hAnsi="Arial" w:cstheme="minorBidi"/>
          <w:sz w:val="20"/>
          <w:lang w:val="ca-ES" w:eastAsia="ca-ES"/>
        </w:rPr>
      </w:pPr>
    </w:p>
    <w:p>
      <w:pPr>
        <w:numPr>
          <w:ilvl w:val="0"/>
          <w:numId w:val="7"/>
        </w:numPr>
        <w:rPr>
          <w:rFonts w:ascii="Arial" w:hAnsi="Arial" w:cstheme="minorBidi"/>
          <w:sz w:val="20"/>
          <w:lang w:val="ca-ES" w:eastAsia="ca-ES"/>
        </w:rPr>
      </w:pPr>
      <w:r>
        <w:rPr>
          <w:rFonts w:ascii="Arial" w:hAnsi="Arial" w:cstheme="minorBidi"/>
          <w:sz w:val="20"/>
          <w:lang w:val="ca-ES" w:eastAsia="ca-ES"/>
        </w:rPr>
        <w:t>Si té un infant en acolliment.</w:t>
      </w:r>
    </w:p>
    <w:p>
      <w:pPr>
        <w:numPr>
          <w:ilvl w:val="0"/>
          <w:numId w:val="7"/>
        </w:numPr>
        <w:rPr>
          <w:rFonts w:ascii="Arial" w:hAnsi="Arial" w:cstheme="minorBidi"/>
          <w:sz w:val="20"/>
          <w:lang w:val="ca-ES" w:eastAsia="ca-ES"/>
        </w:rPr>
      </w:pPr>
      <w:r>
        <w:rPr>
          <w:rFonts w:ascii="Arial" w:hAnsi="Arial" w:cstheme="minorBidi"/>
          <w:sz w:val="20"/>
          <w:lang w:val="ca-ES" w:eastAsia="ca-ES"/>
        </w:rPr>
        <w:t>Si coexisteixen dos o més germans matriculats durant el mateix curs escolar a les escoles infantils públiques del municipi.</w:t>
      </w:r>
    </w:p>
    <w:p>
      <w:pPr>
        <w:numPr>
          <w:ilvl w:val="0"/>
          <w:numId w:val="7"/>
        </w:numPr>
        <w:rPr>
          <w:rFonts w:ascii="Arial" w:hAnsi="Arial" w:cstheme="minorBidi"/>
          <w:sz w:val="20"/>
          <w:lang w:val="ca-ES" w:eastAsia="ca-ES"/>
        </w:rPr>
      </w:pPr>
      <w:r>
        <w:rPr>
          <w:rFonts w:ascii="Arial" w:hAnsi="Arial" w:cstheme="minorBidi"/>
          <w:sz w:val="20"/>
          <w:lang w:val="ca-ES" w:eastAsia="ca-ES"/>
        </w:rPr>
        <w:t>Si l'infant o algun membre de la unitat familiar té una</w:t>
      </w:r>
      <w:r>
        <w:rPr>
          <w:rFonts w:ascii="Arial" w:hAnsi="Arial" w:cstheme="minorBidi"/>
          <w:sz w:val="20"/>
          <w:lang w:val="es-ES" w:eastAsia="es-ES"/>
        </w:rPr>
        <w:t xml:space="preserve"> dependència o </w:t>
      </w:r>
      <w:r>
        <w:rPr>
          <w:rFonts w:ascii="Arial" w:hAnsi="Arial" w:cstheme="minorBidi"/>
          <w:sz w:val="20"/>
          <w:lang w:val="ca-ES" w:eastAsia="ca-ES"/>
        </w:rPr>
        <w:t>discapacitat física, psíquica o sensorial.</w:t>
      </w:r>
    </w:p>
    <w:p>
      <w:pPr>
        <w:numPr>
          <w:ilvl w:val="0"/>
          <w:numId w:val="7"/>
        </w:numPr>
        <w:rPr>
          <w:rFonts w:ascii="Arial" w:hAnsi="Arial" w:cstheme="minorBidi"/>
          <w:sz w:val="20"/>
          <w:lang w:val="ca-ES" w:eastAsia="ca-ES"/>
        </w:rPr>
      </w:pPr>
      <w:r>
        <w:rPr>
          <w:rFonts w:ascii="Arial" w:hAnsi="Arial" w:cstheme="minorBidi"/>
          <w:sz w:val="20"/>
          <w:lang w:val="ca-ES" w:eastAsia="ca-ES"/>
        </w:rPr>
        <w:t>Família nombrosa.</w:t>
      </w:r>
    </w:p>
    <w:p>
      <w:pPr>
        <w:numPr>
          <w:ilvl w:val="0"/>
          <w:numId w:val="7"/>
        </w:numPr>
        <w:rPr>
          <w:rFonts w:ascii="Arial" w:hAnsi="Arial" w:cstheme="minorBidi"/>
          <w:sz w:val="20"/>
          <w:lang w:val="ca-ES" w:eastAsia="ca-ES"/>
        </w:rPr>
      </w:pPr>
      <w:r>
        <w:rPr>
          <w:rFonts w:ascii="Arial" w:hAnsi="Arial" w:cstheme="minorBidi"/>
          <w:sz w:val="20"/>
          <w:lang w:val="ca-ES" w:eastAsia="ca-ES"/>
        </w:rPr>
        <w:t>Famílies monoparentals.</w:t>
      </w:r>
    </w:p>
    <w:p>
      <w:pPr>
        <w:numPr>
          <w:ilvl w:val="0"/>
          <w:numId w:val="7"/>
        </w:numPr>
        <w:rPr>
          <w:rFonts w:ascii="Arial" w:hAnsi="Arial" w:cstheme="minorBidi"/>
          <w:sz w:val="20"/>
          <w:lang w:val="ca-ES" w:eastAsia="ca-ES"/>
        </w:rPr>
      </w:pPr>
      <w:r>
        <w:rPr>
          <w:rFonts w:ascii="Arial" w:hAnsi="Arial" w:cstheme="minorBidi"/>
          <w:sz w:val="20"/>
          <w:lang w:val="ca-ES" w:eastAsia="ca-ES"/>
        </w:rPr>
        <w:t>Malaltia crònica o de salut mental.</w:t>
      </w:r>
    </w:p>
    <w:p>
      <w:pPr>
        <w:numPr>
          <w:ilvl w:val="0"/>
          <w:numId w:val="7"/>
        </w:numPr>
        <w:rPr>
          <w:rFonts w:ascii="Arial" w:hAnsi="Arial" w:cstheme="minorBidi"/>
          <w:sz w:val="20"/>
          <w:lang w:val="ca-ES" w:eastAsia="ca-ES"/>
        </w:rPr>
      </w:pPr>
      <w:r>
        <w:rPr>
          <w:rFonts w:ascii="Arial" w:hAnsi="Arial" w:cstheme="minorBidi"/>
          <w:sz w:val="20"/>
          <w:lang w:val="ca-ES" w:eastAsia="ca-ES"/>
        </w:rPr>
        <w:t xml:space="preserve">Víctima de violència </w:t>
      </w:r>
      <w:r>
        <w:rPr>
          <w:rFonts w:ascii="Arial" w:hAnsi="Arial" w:cstheme="minorBidi"/>
          <w:sz w:val="20"/>
          <w:lang w:val="es-ES" w:eastAsia="es-ES"/>
        </w:rPr>
        <w:t>masclista i en risc social.</w:t>
      </w:r>
      <w:r>
        <w:rPr>
          <w:rFonts w:ascii="Arial" w:hAnsi="Arial" w:cstheme="minorBidi"/>
          <w:sz w:val="20"/>
          <w:lang w:val="ca-ES" w:eastAsia="ca-ES"/>
        </w:rPr>
        <w:t xml:space="preserve"> </w:t>
      </w:r>
    </w:p>
    <w:p>
      <w:pPr>
        <w:ind w:left="1080"/>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b w:val="1"/>
          <w:sz w:val="20"/>
          <w:lang w:val="ca-ES" w:eastAsia="ca-ES"/>
        </w:rPr>
        <w:t>5.2 Bonificacions programes d’acompanyament familiar</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 xml:space="preserve">En el cas dels programes d’acompanyament familiar, es mantindran els mateixos criteris establerts a l’apartat 5 </w:t>
      </w:r>
      <w:r>
        <w:rPr>
          <w:rFonts w:ascii="Arial" w:hAnsi="Arial" w:cstheme="minorBidi"/>
          <w:i w:val="1"/>
          <w:sz w:val="20"/>
          <w:lang w:val="ca-ES" w:eastAsia="ca-ES"/>
        </w:rPr>
        <w:t>a</w:t>
      </w:r>
      <w:r>
        <w:rPr>
          <w:rFonts w:ascii="Arial" w:hAnsi="Arial" w:cstheme="minorBidi"/>
          <w:sz w:val="20"/>
          <w:lang w:val="ca-ES" w:eastAsia="ca-ES"/>
        </w:rPr>
        <w:t xml:space="preserve"> del servei d'escolarització bàsica per al procediment del càlcul de les bonificacions.</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b w:val="1"/>
          <w:sz w:val="20"/>
          <w:lang w:val="ca-ES" w:eastAsia="ca-ES"/>
        </w:rPr>
        <w:t xml:space="preserve">5.3 Descomptes </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A aquelles famílies que no rebin l'ajut referenciat en els apartats anteriors en funció de la renda, se'ls aplicarà un descompte si compleixen un dels requisits següents. En cap cas el descompte serà acumulable:</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 Descompte del 10% de la quota mensual a famílies amb dos infants matriculats.</w:t>
      </w:r>
    </w:p>
    <w:p>
      <w:pPr>
        <w:pStyle w:val="P20"/>
        <w:jc w:val="both"/>
        <w:rPr>
          <w:rFonts w:ascii="Arial" w:hAnsi="Arial" w:cstheme="minorBidi"/>
          <w:sz w:val="20"/>
          <w:lang w:val="ca-ES" w:eastAsia="ca-ES"/>
        </w:rPr>
      </w:pPr>
      <w:r>
        <w:rPr>
          <w:rFonts w:ascii="Arial" w:hAnsi="Arial" w:cstheme="minorBidi"/>
          <w:sz w:val="20"/>
          <w:lang w:val="ca-ES" w:eastAsia="ca-ES"/>
        </w:rPr>
        <w:t>- Descompte del 20% de la quota mensual a famílies nombroses, monoparentals o amb infants amb necessitats educatives especials.</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b w:val="1"/>
          <w:sz w:val="20"/>
          <w:lang w:val="ca-ES" w:eastAsia="ca-ES"/>
        </w:rPr>
        <w:t>5.4</w:t>
      </w:r>
      <w:r>
        <w:rPr>
          <w:rFonts w:ascii="Arial" w:hAnsi="Arial" w:cstheme="minorBidi"/>
          <w:b w:val="1"/>
          <w:i w:val="1"/>
          <w:sz w:val="20"/>
          <w:lang w:val="ca-ES" w:eastAsia="ca-ES"/>
        </w:rPr>
        <w:t xml:space="preserve"> </w:t>
      </w:r>
      <w:r>
        <w:rPr>
          <w:rFonts w:ascii="Arial" w:hAnsi="Arial" w:cstheme="minorBidi"/>
          <w:b w:val="1"/>
          <w:sz w:val="20"/>
          <w:lang w:val="ca-ES" w:eastAsia="ca-ES"/>
        </w:rPr>
        <w:t xml:space="preserve">Altres requisits </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Quan els infants siguin menors d’1 any, a més a més dels requisits econòmics, hauran de complir els següents:</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1. Hauran de justificar documentalment la impossibilitat dels tutors o tutores legals d’atendre els infants afectats en l'horari d'escolarització d'aquests. Ho podran fer mitjançant contractes de treball, certificat d'horari de treball i vida laboral.</w:t>
      </w:r>
    </w:p>
    <w:p>
      <w:pPr>
        <w:pStyle w:val="P20"/>
        <w:ind w:left="1701"/>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2. Si la necessitat d'escolarització és una altra que el treball dels familiars, s'haurà de justificar documentalment segons el cas:</w:t>
      </w:r>
    </w:p>
    <w:p>
      <w:pPr>
        <w:pStyle w:val="P20"/>
        <w:ind w:left="7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 En cas de motius educatius: amb un informe de l’Equip d’Atenció Primerenca.</w:t>
      </w:r>
    </w:p>
    <w:p>
      <w:pPr>
        <w:pStyle w:val="P20"/>
        <w:jc w:val="both"/>
        <w:rPr>
          <w:rFonts w:ascii="Arial" w:hAnsi="Arial" w:cstheme="minorBidi"/>
          <w:sz w:val="20"/>
          <w:lang w:val="ca-ES" w:eastAsia="ca-ES"/>
        </w:rPr>
      </w:pPr>
      <w:r>
        <w:rPr>
          <w:rFonts w:ascii="Arial" w:hAnsi="Arial" w:cstheme="minorBidi"/>
          <w:sz w:val="20"/>
          <w:lang w:val="ca-ES" w:eastAsia="ca-ES"/>
        </w:rPr>
        <w:t xml:space="preserve">- En cas de malaltia: amb un certificat mèdic. </w:t>
        <w:tab/>
      </w:r>
    </w:p>
    <w:p>
      <w:pPr>
        <w:pStyle w:val="P20"/>
        <w:jc w:val="both"/>
        <w:rPr>
          <w:rFonts w:ascii="Arial" w:hAnsi="Arial" w:cstheme="minorBidi"/>
          <w:sz w:val="20"/>
          <w:lang w:val="ca-ES" w:eastAsia="ca-ES"/>
        </w:rPr>
      </w:pPr>
      <w:r>
        <w:rPr>
          <w:rFonts w:ascii="Arial" w:hAnsi="Arial" w:cstheme="minorBidi"/>
          <w:sz w:val="20"/>
          <w:lang w:val="ca-ES" w:eastAsia="ca-ES"/>
        </w:rPr>
        <w:t>- En cas d'estudis: amb certificat de matrícula.</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En els casos en què ho manifesti un informe de Serveis Socials, les persones sol·licitants podran accedir a una bonificació de fins al 100 % de la matrícula i de les quotes.</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Es tindrà en compte la situació de les dones víctimes de gènere, i dels seus fills i filles, d'acord amb els articles 76 i 78 de la Llei 11/2016 d'igualtat de dones i homes.</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 xml:space="preserve">Les bonificacions no tindran efectes retroactius, excepte aquelles que se sol·licitin juntament amb la matrícula. </w:t>
      </w:r>
    </w:p>
    <w:p>
      <w:pPr>
        <w:rPr>
          <w:rFonts w:ascii="Arial" w:hAnsi="Arial" w:cstheme="minorBidi"/>
          <w:sz w:val="20"/>
          <w:lang w:val="ca-ES" w:eastAsia="ca-ES"/>
        </w:rPr>
      </w:pPr>
    </w:p>
    <w:p>
      <w:pPr>
        <w:rPr>
          <w:rFonts w:ascii="Arial" w:hAnsi="Arial" w:cstheme="minorBidi"/>
          <w:sz w:val="20"/>
          <w:lang w:val="ca-ES" w:eastAsia="ca-ES"/>
        </w:rPr>
      </w:pPr>
      <w:r>
        <w:rPr>
          <w:rFonts w:ascii="Arial" w:hAnsi="Arial" w:cstheme="minorBidi"/>
          <w:b w:val="1"/>
          <w:sz w:val="20"/>
          <w:lang w:val="ca-ES" w:eastAsia="ca-ES"/>
        </w:rPr>
        <w:t>Article 6</w:t>
      </w:r>
    </w:p>
    <w:p>
      <w:pPr>
        <w:rPr>
          <w:rFonts w:ascii="Arial" w:hAnsi="Arial" w:cstheme="minorBidi"/>
          <w:sz w:val="20"/>
          <w:lang w:val="ca-ES" w:eastAsia="ca-ES"/>
        </w:rPr>
      </w:pPr>
      <w:r>
        <w:rPr>
          <w:rFonts w:ascii="Arial" w:hAnsi="Arial" w:cstheme="minorBidi"/>
          <w:b w:val="1"/>
          <w:sz w:val="20"/>
          <w:lang w:val="ca-ES" w:eastAsia="ca-ES"/>
        </w:rPr>
        <w:t>Tramitació de les sol·licituds</w:t>
      </w:r>
    </w:p>
    <w:p>
      <w:pPr>
        <w:rPr>
          <w:rFonts w:ascii="Arial" w:hAnsi="Arial" w:cstheme="minorBidi"/>
          <w:b w:val="1"/>
          <w:sz w:val="20"/>
          <w:lang w:val="ca-ES" w:eastAsia="ca-ES"/>
        </w:rPr>
      </w:pPr>
    </w:p>
    <w:p>
      <w:pPr>
        <w:pStyle w:val="P20"/>
        <w:jc w:val="both"/>
        <w:rPr>
          <w:rFonts w:ascii="Arial" w:hAnsi="Arial" w:cstheme="minorBidi"/>
          <w:sz w:val="20"/>
          <w:lang w:val="ca-ES" w:eastAsia="ca-ES"/>
        </w:rPr>
      </w:pPr>
      <w:r>
        <w:rPr>
          <w:rFonts w:ascii="Arial" w:hAnsi="Arial" w:cstheme="minorBidi"/>
          <w:b w:val="1"/>
          <w:sz w:val="20"/>
          <w:lang w:val="ca-ES" w:eastAsia="ca-ES"/>
        </w:rPr>
        <w:t>6.1 Sol·licituds i documentació a presentar</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Sens perjudici del que disposa l’article 16 de la Llei 39/2015, d'1 d'octubre, del procediment administratiu comú de les administracions públiques, les sol·licituds de bonificació s’hauran d’adreçar a l’Ajuntament, preferentment de manera telemàtica i subsidiàriament de forma presencial.</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Si la bonificació se sol·licita per a més d’una persona membre de la família, s’haurà de presentar un imprès per a cadascuna, però només caldrà lliurar un exemplar de la documentació adjunta, sempre que l’alumnat estigui matriculat al mateix municipi.</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Amb la sol·licitud caldrà adjuntar l’original i la fotocòpia –o, si s’escau, l’autorització específica de la persona sol·licitant a consultar les dades requerides en poder de l’Administració– de la documentació següent:</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i w:val="1"/>
          <w:sz w:val="20"/>
          <w:lang w:val="ca-ES" w:eastAsia="ca-ES"/>
        </w:rPr>
        <w:t>a)</w:t>
      </w:r>
      <w:r>
        <w:rPr>
          <w:rFonts w:ascii="Arial" w:hAnsi="Arial" w:cstheme="minorBidi"/>
          <w:sz w:val="20"/>
          <w:lang w:val="ca-ES" w:eastAsia="ca-ES"/>
        </w:rPr>
        <w:t xml:space="preserve"> Declaració anual de l’IRPF (amb segell de l’entitat bancària o certificat de presentació per Internet) o certificat d’imputacions de l’Agència Tributària corresponents al darrer exercici fiscal liquidat.</w:t>
      </w:r>
    </w:p>
    <w:p>
      <w:pPr>
        <w:pStyle w:val="P20"/>
        <w:jc w:val="both"/>
        <w:rPr>
          <w:rFonts w:ascii="Arial" w:hAnsi="Arial" w:cstheme="minorBidi"/>
          <w:sz w:val="20"/>
          <w:lang w:val="ca-ES" w:eastAsia="ca-ES"/>
        </w:rPr>
      </w:pPr>
      <w:r>
        <w:rPr>
          <w:rFonts w:ascii="Arial" w:hAnsi="Arial" w:cstheme="minorBidi"/>
          <w:i w:val="1"/>
          <w:sz w:val="20"/>
          <w:lang w:val="ca-ES" w:eastAsia="ca-ES"/>
        </w:rPr>
        <w:t xml:space="preserve">b) </w:t>
      </w:r>
      <w:r>
        <w:rPr>
          <w:rFonts w:ascii="Arial" w:hAnsi="Arial" w:cstheme="minorBidi"/>
          <w:sz w:val="20"/>
          <w:lang w:val="ca-ES" w:eastAsia="ca-ES"/>
        </w:rPr>
        <w:t>Fotocòpia del DNI, NIE o passaport de la persona sol·licitant.</w:t>
      </w:r>
    </w:p>
    <w:p>
      <w:pPr>
        <w:pStyle w:val="P20"/>
        <w:jc w:val="both"/>
        <w:rPr>
          <w:rFonts w:ascii="Arial" w:hAnsi="Arial" w:cstheme="minorBidi"/>
          <w:sz w:val="20"/>
          <w:lang w:val="ca-ES" w:eastAsia="ca-ES"/>
        </w:rPr>
      </w:pPr>
      <w:r>
        <w:rPr>
          <w:rFonts w:ascii="Arial" w:hAnsi="Arial" w:cstheme="minorBidi"/>
          <w:i w:val="1"/>
          <w:sz w:val="20"/>
          <w:lang w:val="ca-ES" w:eastAsia="ca-ES"/>
        </w:rPr>
        <w:t xml:space="preserve">c) </w:t>
      </w:r>
      <w:r>
        <w:rPr>
          <w:rFonts w:ascii="Arial" w:hAnsi="Arial" w:cstheme="minorBidi"/>
          <w:sz w:val="20"/>
          <w:lang w:val="ca-ES" w:eastAsia="ca-ES"/>
        </w:rPr>
        <w:t>Fotocòpia del llibre de família complet.</w:t>
      </w:r>
    </w:p>
    <w:p>
      <w:pPr>
        <w:pStyle w:val="P20"/>
        <w:jc w:val="both"/>
        <w:rPr>
          <w:rFonts w:ascii="Arial" w:hAnsi="Arial" w:cstheme="minorBidi"/>
          <w:sz w:val="20"/>
          <w:lang w:val="ca-ES" w:eastAsia="ca-ES"/>
        </w:rPr>
      </w:pPr>
      <w:r>
        <w:rPr>
          <w:rFonts w:ascii="Arial" w:hAnsi="Arial" w:cstheme="minorBidi"/>
          <w:i w:val="1"/>
          <w:sz w:val="20"/>
          <w:lang w:val="ca-ES" w:eastAsia="ca-ES"/>
        </w:rPr>
        <w:t xml:space="preserve">d) </w:t>
      </w:r>
      <w:r>
        <w:rPr>
          <w:rFonts w:ascii="Arial" w:hAnsi="Arial" w:cstheme="minorBidi"/>
          <w:sz w:val="20"/>
          <w:lang w:val="ca-ES" w:eastAsia="ca-ES"/>
        </w:rPr>
        <w:t>Fotocòpia del resguard de la matrícula.</w:t>
      </w:r>
    </w:p>
    <w:p>
      <w:pPr>
        <w:pStyle w:val="P20"/>
        <w:jc w:val="both"/>
        <w:rPr>
          <w:rFonts w:ascii="Arial" w:hAnsi="Arial" w:cstheme="minorBidi"/>
          <w:sz w:val="20"/>
          <w:lang w:val="ca-ES" w:eastAsia="ca-ES"/>
        </w:rPr>
      </w:pPr>
      <w:r>
        <w:rPr>
          <w:rFonts w:ascii="Arial" w:hAnsi="Arial" w:cstheme="minorBidi"/>
          <w:i w:val="1"/>
          <w:sz w:val="20"/>
          <w:lang w:val="ca-ES" w:eastAsia="ca-ES"/>
        </w:rPr>
        <w:t xml:space="preserve">e) </w:t>
      </w:r>
      <w:r>
        <w:rPr>
          <w:rFonts w:ascii="Arial" w:hAnsi="Arial" w:cstheme="minorBidi"/>
          <w:sz w:val="20"/>
          <w:lang w:val="ca-ES" w:eastAsia="ca-ES"/>
        </w:rPr>
        <w:t>Certificat de convivència.</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es-ES" w:eastAsia="es-ES"/>
        </w:rPr>
        <w:t xml:space="preserve">Si s'escau, a més s'haurà de presentar </w:t>
      </w:r>
      <w:r>
        <w:rPr>
          <w:rFonts w:ascii="Arial" w:hAnsi="Arial" w:cstheme="minorBidi"/>
          <w:sz w:val="20"/>
          <w:lang w:val="ca-ES" w:eastAsia="ca-ES"/>
        </w:rPr>
        <w:t>la documentació següent:</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i w:val="1"/>
          <w:sz w:val="20"/>
          <w:lang w:val="ca-ES" w:eastAsia="ca-ES"/>
        </w:rPr>
        <w:t xml:space="preserve">a) </w:t>
      </w:r>
      <w:r>
        <w:rPr>
          <w:rFonts w:ascii="Arial" w:hAnsi="Arial" w:cstheme="minorBidi"/>
          <w:sz w:val="20"/>
          <w:lang w:val="ca-ES" w:eastAsia="ca-ES"/>
        </w:rPr>
        <w:t>Certificat que acrediti la discapacitat de les persones membres del nucli familiar i el grau de discapacitat.</w:t>
      </w:r>
    </w:p>
    <w:p>
      <w:pPr>
        <w:pStyle w:val="P20"/>
        <w:jc w:val="both"/>
        <w:rPr>
          <w:rFonts w:ascii="Arial" w:hAnsi="Arial" w:cstheme="minorBidi"/>
          <w:sz w:val="20"/>
          <w:lang w:val="ca-ES" w:eastAsia="ca-ES"/>
        </w:rPr>
      </w:pPr>
      <w:r>
        <w:rPr>
          <w:rFonts w:ascii="Arial" w:hAnsi="Arial" w:cstheme="minorBidi"/>
          <w:i w:val="1"/>
          <w:sz w:val="20"/>
          <w:lang w:val="ca-ES" w:eastAsia="ca-ES"/>
        </w:rPr>
        <w:t>b)</w:t>
      </w:r>
      <w:r>
        <w:rPr>
          <w:rFonts w:ascii="Arial" w:hAnsi="Arial" w:cstheme="minorBidi"/>
          <w:sz w:val="20"/>
          <w:lang w:val="ca-ES" w:eastAsia="ca-ES"/>
        </w:rPr>
        <w:t xml:space="preserve"> Carnet de família nombrosa o monoparental vigent.</w:t>
      </w:r>
    </w:p>
    <w:p>
      <w:pPr>
        <w:pStyle w:val="P20"/>
        <w:jc w:val="both"/>
        <w:rPr>
          <w:rFonts w:ascii="Arial" w:hAnsi="Arial" w:cstheme="minorBidi"/>
          <w:sz w:val="20"/>
          <w:lang w:val="ca-ES" w:eastAsia="ca-ES"/>
        </w:rPr>
      </w:pPr>
      <w:r>
        <w:rPr>
          <w:rFonts w:ascii="Arial" w:hAnsi="Arial" w:cstheme="minorBidi"/>
          <w:i w:val="1"/>
          <w:sz w:val="20"/>
          <w:lang w:val="ca-ES" w:eastAsia="ca-ES"/>
        </w:rPr>
        <w:t>c)</w:t>
      </w:r>
      <w:r>
        <w:rPr>
          <w:rFonts w:ascii="Arial" w:hAnsi="Arial" w:cstheme="minorBidi"/>
          <w:sz w:val="20"/>
          <w:lang w:val="ca-ES" w:eastAsia="ca-ES"/>
        </w:rPr>
        <w:t xml:space="preserve"> Sentència o conveni de separació o divorci.</w:t>
      </w:r>
    </w:p>
    <w:p>
      <w:pPr>
        <w:pStyle w:val="P20"/>
        <w:jc w:val="both"/>
        <w:rPr>
          <w:rFonts w:ascii="Arial" w:hAnsi="Arial" w:cstheme="minorBidi"/>
          <w:sz w:val="20"/>
          <w:lang w:val="ca-ES" w:eastAsia="ca-ES"/>
        </w:rPr>
      </w:pPr>
      <w:r>
        <w:rPr>
          <w:rFonts w:ascii="Arial" w:hAnsi="Arial" w:cstheme="minorBidi"/>
          <w:i w:val="1"/>
          <w:sz w:val="20"/>
          <w:lang w:val="ca-ES" w:eastAsia="ca-ES"/>
        </w:rPr>
        <w:t xml:space="preserve">d) </w:t>
      </w:r>
      <w:r>
        <w:rPr>
          <w:rFonts w:ascii="Arial" w:hAnsi="Arial" w:cstheme="minorBidi"/>
          <w:sz w:val="20"/>
          <w:lang w:val="ca-ES" w:eastAsia="ca-ES"/>
        </w:rPr>
        <w:t>Resolució d’acolliment de la Direcció General d’Atenció a la Infància i l’Adolescència.</w:t>
      </w:r>
    </w:p>
    <w:p>
      <w:pPr>
        <w:pStyle w:val="P20"/>
        <w:jc w:val="both"/>
        <w:rPr>
          <w:rFonts w:ascii="Arial" w:hAnsi="Arial" w:cstheme="minorBidi"/>
          <w:sz w:val="20"/>
          <w:lang w:val="ca-ES" w:eastAsia="ca-ES"/>
        </w:rPr>
      </w:pPr>
      <w:r>
        <w:rPr>
          <w:rFonts w:ascii="Arial" w:hAnsi="Arial" w:cstheme="minorBidi"/>
          <w:i w:val="1"/>
          <w:sz w:val="20"/>
          <w:lang w:val="ca-ES" w:eastAsia="ca-ES"/>
        </w:rPr>
        <w:t xml:space="preserve">e) </w:t>
      </w:r>
      <w:r>
        <w:rPr>
          <w:rFonts w:ascii="Arial" w:hAnsi="Arial" w:cstheme="minorBidi"/>
          <w:sz w:val="20"/>
          <w:lang w:val="ca-ES" w:eastAsia="ca-ES"/>
        </w:rPr>
        <w:t>En cas que la família estigui atesa pels Serveis Socials, persona i centre que els atén.</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En els casos d'infants menors d’1 any, si s’escau, s'haurà de presentar a més la documentació següent:</w:t>
      </w:r>
    </w:p>
    <w:p>
      <w:pPr>
        <w:pStyle w:val="P20"/>
        <w:jc w:val="both"/>
        <w:rPr>
          <w:rFonts w:ascii="Arial" w:hAnsi="Arial" w:cstheme="minorBidi"/>
          <w:i w:val="1"/>
          <w:sz w:val="20"/>
          <w:lang w:val="ca-ES" w:eastAsia="ca-ES"/>
        </w:rPr>
      </w:pPr>
    </w:p>
    <w:p>
      <w:pPr>
        <w:pStyle w:val="P20"/>
        <w:jc w:val="both"/>
        <w:rPr>
          <w:rFonts w:ascii="Arial" w:hAnsi="Arial" w:cstheme="minorBidi"/>
          <w:sz w:val="20"/>
          <w:lang w:val="ca-ES" w:eastAsia="ca-ES"/>
        </w:rPr>
      </w:pPr>
      <w:r>
        <w:rPr>
          <w:rFonts w:ascii="Arial" w:hAnsi="Arial" w:cstheme="minorBidi"/>
          <w:i w:val="1"/>
          <w:sz w:val="20"/>
          <w:lang w:val="ca-ES" w:eastAsia="ca-ES"/>
        </w:rPr>
        <w:t>a)</w:t>
      </w:r>
      <w:r>
        <w:rPr>
          <w:rFonts w:ascii="Arial" w:hAnsi="Arial" w:cstheme="minorBidi"/>
          <w:sz w:val="20"/>
          <w:lang w:val="ca-ES" w:eastAsia="ca-ES"/>
        </w:rPr>
        <w:t xml:space="preserve"> Justificants de treball dels tutors o tutores: contracte de treball, certificat d'horari de l'empresa i vida laboral.</w:t>
      </w:r>
    </w:p>
    <w:p>
      <w:pPr>
        <w:pStyle w:val="P20"/>
        <w:jc w:val="both"/>
        <w:rPr>
          <w:rFonts w:ascii="Arial" w:hAnsi="Arial" w:cstheme="minorBidi"/>
          <w:sz w:val="20"/>
          <w:lang w:val="ca-ES" w:eastAsia="ca-ES"/>
        </w:rPr>
      </w:pPr>
      <w:r>
        <w:rPr>
          <w:rFonts w:ascii="Arial" w:hAnsi="Arial" w:cstheme="minorBidi"/>
          <w:i w:val="1"/>
          <w:sz w:val="20"/>
          <w:lang w:val="ca-ES" w:eastAsia="ca-ES"/>
        </w:rPr>
        <w:t>b)</w:t>
      </w:r>
      <w:r>
        <w:rPr>
          <w:rFonts w:ascii="Arial" w:hAnsi="Arial" w:cstheme="minorBidi"/>
          <w:sz w:val="20"/>
          <w:lang w:val="ca-ES" w:eastAsia="ca-ES"/>
        </w:rPr>
        <w:t xml:space="preserve"> En cas de malaltia d'algun tutor o tutora legal: certificat mèdic.</w:t>
      </w:r>
    </w:p>
    <w:p>
      <w:pPr>
        <w:pStyle w:val="P20"/>
        <w:jc w:val="both"/>
        <w:rPr>
          <w:rFonts w:ascii="Arial" w:hAnsi="Arial" w:cstheme="minorBidi"/>
          <w:sz w:val="20"/>
          <w:lang w:val="ca-ES" w:eastAsia="ca-ES"/>
        </w:rPr>
      </w:pPr>
      <w:r>
        <w:rPr>
          <w:rFonts w:ascii="Arial" w:hAnsi="Arial" w:cstheme="minorBidi"/>
          <w:i w:val="1"/>
          <w:sz w:val="20"/>
          <w:lang w:val="ca-ES" w:eastAsia="ca-ES"/>
        </w:rPr>
        <w:t>c)</w:t>
      </w:r>
      <w:r>
        <w:rPr>
          <w:rFonts w:ascii="Arial" w:hAnsi="Arial" w:cstheme="minorBidi"/>
          <w:sz w:val="20"/>
          <w:lang w:val="ca-ES" w:eastAsia="ca-ES"/>
        </w:rPr>
        <w:t xml:space="preserve"> En cas d'estudis d'algun tutor o tutora legal: certificat de matrícula.</w:t>
      </w:r>
    </w:p>
    <w:p>
      <w:pPr>
        <w:pStyle w:val="P20"/>
        <w:jc w:val="both"/>
        <w:rPr>
          <w:rFonts w:ascii="Arial" w:hAnsi="Arial" w:cstheme="minorBidi"/>
          <w:sz w:val="20"/>
          <w:lang w:val="ca-ES" w:eastAsia="ca-ES"/>
        </w:rPr>
      </w:pPr>
      <w:r>
        <w:rPr>
          <w:rFonts w:ascii="Arial" w:hAnsi="Arial" w:cstheme="minorBidi"/>
          <w:i w:val="1"/>
          <w:sz w:val="20"/>
          <w:lang w:val="ca-ES" w:eastAsia="ca-ES"/>
        </w:rPr>
        <w:t>d)</w:t>
      </w:r>
      <w:r>
        <w:rPr>
          <w:rFonts w:ascii="Arial" w:hAnsi="Arial" w:cstheme="minorBidi"/>
          <w:sz w:val="20"/>
          <w:lang w:val="ca-ES" w:eastAsia="ca-ES"/>
        </w:rPr>
        <w:t xml:space="preserve"> Per motius educatius: informe de l’Equip d’Atenció Primerenca</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Les persones sol·licitants hauran d’aportar la documentació requerida i podran afegir-hi altres documents que puguin justificar la seva situació. No s’acceptaran declaracions jurades ni justificacions de despeses.</w:t>
      </w:r>
    </w:p>
    <w:p>
      <w:pPr>
        <w:rPr>
          <w:rFonts w:ascii="Arial" w:hAnsi="Arial" w:cstheme="minorBidi"/>
          <w:b w:val="1"/>
          <w:sz w:val="20"/>
          <w:lang w:val="ca-ES" w:eastAsia="ca-ES"/>
        </w:rPr>
      </w:pPr>
    </w:p>
    <w:p>
      <w:pPr>
        <w:rPr>
          <w:rFonts w:ascii="Arial" w:hAnsi="Arial" w:cstheme="minorBidi"/>
          <w:sz w:val="20"/>
          <w:lang w:val="ca-ES" w:eastAsia="ca-ES"/>
        </w:rPr>
      </w:pPr>
      <w:r>
        <w:rPr>
          <w:rFonts w:ascii="Arial" w:hAnsi="Arial" w:cstheme="minorBidi"/>
          <w:b w:val="1"/>
          <w:sz w:val="20"/>
          <w:lang w:val="ca-ES" w:eastAsia="ca-ES"/>
        </w:rPr>
        <w:t>Article 7</w:t>
      </w:r>
    </w:p>
    <w:p>
      <w:pPr>
        <w:pStyle w:val="P20"/>
        <w:jc w:val="both"/>
        <w:rPr>
          <w:rFonts w:ascii="Arial" w:hAnsi="Arial" w:cstheme="minorBidi"/>
          <w:sz w:val="20"/>
          <w:lang w:val="ca-ES" w:eastAsia="ca-ES"/>
        </w:rPr>
      </w:pPr>
      <w:r>
        <w:rPr>
          <w:rFonts w:ascii="Arial" w:hAnsi="Arial" w:cstheme="minorBidi"/>
          <w:b w:val="1"/>
          <w:sz w:val="20"/>
          <w:lang w:val="ca-ES" w:eastAsia="ca-ES"/>
        </w:rPr>
        <w:t>Procediment</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 xml:space="preserve">L’Ajuntament revisarà les sol·licituds i la documentació presentada, </w:t>
      </w:r>
      <w:r>
        <w:rPr>
          <w:rFonts w:ascii="Arial" w:hAnsi="Arial" w:cstheme="minorBidi"/>
          <w:sz w:val="20"/>
          <w:lang w:val="es-ES" w:eastAsia="es-ES"/>
        </w:rPr>
        <w:t xml:space="preserve"> </w:t>
      </w:r>
      <w:r>
        <w:rPr>
          <w:rFonts w:ascii="Arial" w:hAnsi="Arial" w:cstheme="minorBidi"/>
          <w:sz w:val="20"/>
          <w:lang w:val="ca-ES" w:eastAsia="ca-ES"/>
        </w:rPr>
        <w:t xml:space="preserve">comprovarà </w:t>
      </w:r>
      <w:r>
        <w:rPr>
          <w:rFonts w:ascii="Arial" w:hAnsi="Arial" w:cstheme="minorBidi"/>
          <w:sz w:val="20"/>
          <w:lang w:val="es-ES" w:eastAsia="es-ES"/>
        </w:rPr>
        <w:t xml:space="preserve"> </w:t>
      </w:r>
      <w:r>
        <w:rPr>
          <w:rFonts w:ascii="Arial" w:hAnsi="Arial" w:cstheme="minorBidi"/>
          <w:sz w:val="20"/>
          <w:lang w:val="ca-ES" w:eastAsia="ca-ES"/>
        </w:rPr>
        <w:t xml:space="preserve">que l’imprès de </w:t>
      </w:r>
    </w:p>
    <w:p>
      <w:pPr>
        <w:pStyle w:val="P20"/>
        <w:jc w:val="both"/>
        <w:rPr>
          <w:rFonts w:ascii="Arial" w:hAnsi="Arial" w:cstheme="minorBidi"/>
          <w:sz w:val="20"/>
          <w:lang w:val="ca-ES" w:eastAsia="ca-ES"/>
        </w:rPr>
      </w:pPr>
      <w:r>
        <w:rPr>
          <w:rFonts w:ascii="Arial" w:hAnsi="Arial" w:cstheme="minorBidi"/>
          <w:sz w:val="20"/>
          <w:lang w:val="ca-ES" w:eastAsia="ca-ES"/>
        </w:rPr>
        <w:t>sol·licitud ha estat correctament emplenat i que s’ha aportat la documentació requerida, i farà un càlcul provisional del percentatge de bonificació a atorgar a la persona sol·licitant en funció del compliment dels requisits econòmics i familiars.</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 xml:space="preserve">En el supòsit que les dades siguin incompletes o manqui documentació, l’Ajuntament establirà un termini de </w:t>
      </w:r>
      <w:r>
        <w:rPr>
          <w:rFonts w:ascii="Arial" w:hAnsi="Arial" w:cstheme="minorBidi"/>
          <w:sz w:val="20"/>
          <w:lang w:val="es-ES" w:eastAsia="es-ES"/>
        </w:rPr>
        <w:t>10</w:t>
      </w:r>
      <w:r>
        <w:rPr>
          <w:rFonts w:ascii="Arial" w:hAnsi="Arial" w:cstheme="minorBidi"/>
          <w:sz w:val="20"/>
          <w:lang w:val="ca-ES" w:eastAsia="ca-ES"/>
        </w:rPr>
        <w:t xml:space="preserve"> dies hàbils per efectuar les correccions pertinents i perquè les persones interessades puguin esmenar o completar les dades, o adjuntar-hi la documentació no presentada inicialment.</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En el supòsit que la sol·licitud no reuneixi els requisits exigits o manqui la documentació necessària, es requerirà la persona interessada perquè, en el termini de deu dies, esmeni la falta o aporti els documents preceptius, amb indicació que, si no ho fa, es considerarà que desisteix de la seva petició, prèvia resolució dictada a aquest efecte.</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L’Ajuntament, vista la documentació presentada, resoldrà la concessió o denegació de la sol·licitud de bonificació en el termini de 15 dies hàbils comptadors des del moment que la documentació sigui completa.</w:t>
      </w:r>
    </w:p>
    <w:p>
      <w:pPr>
        <w:pStyle w:val="P20"/>
        <w:jc w:val="both"/>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Contra la resolució de la sol·licitud de bonificació es podrà interposar recurs de reposició davant el mateix òrgan que l’hagi dictada, en el termini d’un mes comptador des de l’endemà de la notificació, d’acord amb l’article 14.2 del Text refós de la Llei reguladora de les hisendes locals.</w:t>
      </w:r>
    </w:p>
    <w:p>
      <w:pPr>
        <w:rPr>
          <w:rFonts w:ascii="Arial" w:hAnsi="Arial" w:cstheme="minorBidi"/>
          <w:b w:val="1"/>
          <w:sz w:val="20"/>
          <w:lang w:val="ca-ES" w:eastAsia="ca-ES"/>
        </w:rPr>
      </w:pPr>
    </w:p>
    <w:p>
      <w:pPr>
        <w:rPr>
          <w:rFonts w:ascii="Arial" w:hAnsi="Arial" w:cstheme="minorBidi"/>
          <w:sz w:val="20"/>
          <w:lang w:val="ca-ES" w:eastAsia="ca-ES"/>
        </w:rPr>
      </w:pPr>
      <w:r>
        <w:rPr>
          <w:rFonts w:ascii="Arial" w:hAnsi="Arial" w:cstheme="minorBidi"/>
          <w:b w:val="1"/>
          <w:sz w:val="20"/>
          <w:lang w:val="ca-ES" w:eastAsia="ca-ES"/>
        </w:rPr>
        <w:t>Article 8</w:t>
      </w:r>
    </w:p>
    <w:p>
      <w:pPr>
        <w:rPr>
          <w:rFonts w:ascii="Arial" w:hAnsi="Arial" w:cstheme="minorBidi"/>
          <w:sz w:val="20"/>
          <w:lang w:val="ca-ES" w:eastAsia="ca-ES"/>
        </w:rPr>
      </w:pPr>
      <w:r>
        <w:rPr>
          <w:rFonts w:ascii="Arial" w:hAnsi="Arial" w:cstheme="minorBidi"/>
          <w:b w:val="1"/>
          <w:sz w:val="20"/>
          <w:lang w:val="ca-ES" w:eastAsia="ca-ES"/>
        </w:rPr>
        <w:t>Incompatibilitats</w:t>
      </w:r>
    </w:p>
    <w:p>
      <w:pPr>
        <w:rPr>
          <w:rFonts w:ascii="Arial" w:hAnsi="Arial" w:cstheme="minorBidi"/>
          <w:sz w:val="20"/>
          <w:lang w:val="ca-ES" w:eastAsia="ca-ES"/>
        </w:rPr>
      </w:pPr>
    </w:p>
    <w:p>
      <w:pPr>
        <w:jc w:val="both"/>
        <w:rPr>
          <w:rFonts w:ascii="Arial" w:hAnsi="Arial" w:cstheme="minorBidi"/>
          <w:sz w:val="20"/>
          <w:lang w:val="ca-ES" w:eastAsia="ca-ES"/>
        </w:rPr>
      </w:pPr>
      <w:r>
        <w:rPr>
          <w:rFonts w:ascii="Arial" w:hAnsi="Arial" w:cstheme="minorBidi"/>
          <w:sz w:val="20"/>
          <w:lang w:val="ca-ES" w:eastAsia="ca-ES"/>
        </w:rPr>
        <w:t>La suma de les quanties d’ajudes rebudes no podrà superar el total de les quotes previstes amb caràcter general, per la qual cosa la persona beneficiària resta obligada a informar l’Ajuntament de la concessió d’altres ajuts pels mateixos conceptes.</w:t>
      </w:r>
    </w:p>
    <w:p>
      <w:pPr>
        <w:rPr>
          <w:rFonts w:ascii="Arial" w:hAnsi="Arial" w:cstheme="minorBidi"/>
          <w:b w:val="1"/>
          <w:sz w:val="20"/>
          <w:lang w:val="ca-ES" w:eastAsia="ca-ES"/>
        </w:rPr>
      </w:pPr>
    </w:p>
    <w:p>
      <w:pPr>
        <w:rPr>
          <w:rFonts w:ascii="Arial" w:hAnsi="Arial" w:cstheme="minorBidi"/>
          <w:sz w:val="20"/>
          <w:lang w:val="ca-ES" w:eastAsia="ca-ES"/>
        </w:rPr>
      </w:pPr>
      <w:r>
        <w:rPr>
          <w:rFonts w:ascii="Arial" w:hAnsi="Arial" w:cstheme="minorBidi"/>
          <w:b w:val="1"/>
          <w:sz w:val="20"/>
          <w:lang w:val="ca-ES" w:eastAsia="ca-ES"/>
        </w:rPr>
        <w:t>Article 9</w:t>
      </w:r>
    </w:p>
    <w:p>
      <w:pPr>
        <w:rPr>
          <w:rFonts w:ascii="Arial" w:hAnsi="Arial" w:cstheme="minorBidi"/>
          <w:sz w:val="20"/>
          <w:lang w:val="ca-ES" w:eastAsia="ca-ES"/>
        </w:rPr>
      </w:pPr>
      <w:r>
        <w:rPr>
          <w:rFonts w:ascii="Arial" w:hAnsi="Arial" w:cstheme="minorBidi"/>
          <w:b w:val="1"/>
          <w:sz w:val="20"/>
          <w:lang w:val="ca-ES" w:eastAsia="ca-ES"/>
        </w:rPr>
        <w:t>Supòsits de revisió dels ajuts</w:t>
      </w:r>
    </w:p>
    <w:p>
      <w:pPr>
        <w:rPr>
          <w:rFonts w:ascii="Arial" w:hAnsi="Arial" w:cstheme="minorBidi"/>
          <w:sz w:val="20"/>
          <w:lang w:val="ca-ES" w:eastAsia="ca-ES"/>
        </w:rPr>
      </w:pPr>
    </w:p>
    <w:p>
      <w:pPr>
        <w:rPr>
          <w:rFonts w:ascii="Arial" w:hAnsi="Arial" w:cstheme="minorBidi"/>
          <w:sz w:val="20"/>
          <w:lang w:val="ca-ES" w:eastAsia="ca-ES"/>
        </w:rPr>
      </w:pPr>
      <w:r>
        <w:rPr>
          <w:rFonts w:ascii="Arial" w:hAnsi="Arial" w:cstheme="minorBidi"/>
          <w:sz w:val="20"/>
          <w:lang w:val="ca-ES" w:eastAsia="ca-ES"/>
        </w:rPr>
        <w:t>9.1 Els requisits econòmics de les bonificacions, establertes amb caràcter general o en cada preu públic en concret, s’hauran d’acreditar quan es formalitzi la sol·licitud, i únicament es podran revisar amb posterioritat, quan es doni alguna de les circumstàncies següents:</w:t>
      </w:r>
    </w:p>
    <w:p>
      <w:pPr>
        <w:rPr>
          <w:rFonts w:ascii="Arial" w:hAnsi="Arial" w:cstheme="minorBidi"/>
          <w:i w:val="1"/>
          <w:sz w:val="20"/>
          <w:lang w:val="ca-ES" w:eastAsia="ca-ES"/>
        </w:rPr>
      </w:pPr>
    </w:p>
    <w:p>
      <w:pPr>
        <w:pStyle w:val="P20"/>
        <w:jc w:val="both"/>
        <w:rPr>
          <w:rFonts w:ascii="Arial" w:hAnsi="Arial" w:cstheme="minorBidi"/>
          <w:sz w:val="20"/>
          <w:lang w:val="ca-ES" w:eastAsia="ca-ES"/>
        </w:rPr>
      </w:pPr>
      <w:r>
        <w:rPr>
          <w:rFonts w:ascii="Arial" w:hAnsi="Arial" w:cstheme="minorBidi"/>
          <w:i w:val="1"/>
          <w:sz w:val="20"/>
          <w:lang w:val="ca-ES" w:eastAsia="ca-ES"/>
        </w:rPr>
        <w:t xml:space="preserve">a) </w:t>
      </w:r>
      <w:r>
        <w:rPr>
          <w:rFonts w:ascii="Arial" w:hAnsi="Arial" w:cstheme="minorBidi"/>
          <w:sz w:val="20"/>
          <w:lang w:val="ca-ES" w:eastAsia="ca-ES"/>
        </w:rPr>
        <w:t>Canvi de la situació familiar per causa de decés d’algun progenitor/a o tutor/a legal dels menors no emancipats. En aquest cas, s’haurà de presentar la sol·licitud juntament amb la còpia del certificat de defunció.</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i w:val="1"/>
          <w:sz w:val="20"/>
          <w:lang w:val="ca-ES" w:eastAsia="ca-ES"/>
        </w:rPr>
        <w:t>b)</w:t>
      </w:r>
      <w:r>
        <w:rPr>
          <w:rFonts w:ascii="Arial" w:hAnsi="Arial" w:cstheme="minorBidi"/>
          <w:sz w:val="20"/>
          <w:lang w:val="ca-ES" w:eastAsia="ca-ES"/>
        </w:rPr>
        <w:t xml:space="preserve"> Canvi de la situació familiar per causa de divorci o separació legal. Si el divorci o la separació legal considera la guarda i custòdia compartida, es computaran les rendes dels dos tutors legals (pare i mare) i no hi haurà revisió de les bonificacions.</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Si la guarda i custòdia de l'infant s’atribueix a un sol tutor/a, no serà membre computable aquell o aquella excònjuge que no convisqui amb l'infant, però tanmateix sí que serà membre computable el nou cònjuge unit per anàloga relació, així com la seva renda. En aquest supòsit, s’haurà d’adjuntar a la sol·licitud la sentència o el conveni de divorci i/o separació.</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i w:val="1"/>
          <w:sz w:val="20"/>
          <w:lang w:val="ca-ES" w:eastAsia="ca-ES"/>
        </w:rPr>
        <w:t xml:space="preserve">c) </w:t>
      </w:r>
      <w:r>
        <w:rPr>
          <w:rFonts w:ascii="Arial" w:hAnsi="Arial" w:cstheme="minorBidi"/>
          <w:sz w:val="20"/>
          <w:lang w:val="ca-ES" w:eastAsia="ca-ES"/>
        </w:rPr>
        <w:t>Contingències econòmiques sobrevingudes posteriors a la matrícula reflectides en un informe de Serveis Socials en el qual es posi en relleu el canvi socioeconòmic de la unitat familiar i s’estableixi el grau corresponent de qualificació de la situació, sempre que es donin els requisits de llindar de renda establerts en l’apartat 3 de l’article 5 de la present regulació en el moment d’emetre aquest nou informe. Els efectes de la revisió de la corresponent bonificació seran els de la data de presentació de la nova sol·licitud de bonificació, acompanyada de l’informe de Serveis Socials, així com de tota aquella documentació que sigui necessària per acreditar els llindars de renda de les dues persones tutores de l’exercici en curs (fulls de salari de tots els mesos, les pagues extra incloses; indemnització per acomiadament, si s’escau; certificat de cobraments o drets de cobraments fins al final de l’any de rendes d’inserció; prestació d’atur, de viduïtat o no contributives, així com altra documentació que pugui requerir l’Administració a l’efecte d’acreditar la nova renda familiar disponible).</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i w:val="1"/>
          <w:sz w:val="20"/>
          <w:lang w:val="ca-ES" w:eastAsia="ca-ES"/>
        </w:rPr>
        <w:t>d)</w:t>
      </w:r>
      <w:r>
        <w:rPr>
          <w:rFonts w:ascii="Arial" w:hAnsi="Arial" w:cstheme="minorBidi"/>
          <w:sz w:val="20"/>
          <w:lang w:val="ca-ES" w:eastAsia="ca-ES"/>
        </w:rPr>
        <w:t xml:space="preserve"> Infants en acollida en centres de serveis socials especialitzats, on s’haurà de tramitar la sol·licitud amb còpia de la sentència judicial, la resolució administrativa o l'informe de l'organisme competent que determina la tutoria de l'infant als Serveis Socials.</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9.2 En els casos en què es plantegin dubtes o incògnites respecte a l'oportunitat de concedir l'ajut sol·licitat, les famílies sol·licitants estan obligades a presentar qualsevol informació que se'ls sol·liciti. A més, han d'estar disposades a realitzar les entrevistes necessàries amb els Serveis Socials Municipals o l'Equip d'Atenció Primerenca per aclarir la situació familiar i econòmica en què es troben, en qualsevol moment durant el curs escolar en què reben ajuda.</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b w:val="1"/>
          <w:sz w:val="20"/>
          <w:lang w:val="ca-ES" w:eastAsia="ca-ES"/>
        </w:rPr>
        <w:t>Disposició addicional</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Tot el que no estigui previst en aquesta Ordenança es regirà pel Text refós de la Llei reguladora de les hisendes locals, la Llei general tributària i el Reglament general de recaptació.</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b w:val="1"/>
          <w:sz w:val="20"/>
          <w:lang w:val="ca-ES" w:eastAsia="ca-ES"/>
        </w:rPr>
        <w:t>Disposició derogatòria</w:t>
      </w:r>
      <w:r>
        <w:rPr>
          <w:rFonts w:ascii="Arial" w:hAnsi="Arial" w:cstheme="minorBidi"/>
          <w:sz w:val="20"/>
          <w:lang w:val="ca-ES" w:eastAsia="ca-ES"/>
        </w:rPr>
        <w:t xml:space="preserve"> </w:t>
      </w:r>
    </w:p>
    <w:p>
      <w:pPr>
        <w:pStyle w:val="P20"/>
        <w:jc w:val="both"/>
        <w:rPr>
          <w:rFonts w:ascii="Arial" w:hAnsi="Arial" w:cstheme="minorBidi"/>
          <w:sz w:val="20"/>
          <w:lang w:val="ca-ES" w:eastAsia="ca-ES"/>
        </w:rPr>
      </w:pPr>
    </w:p>
    <w:p>
      <w:pPr>
        <w:pStyle w:val="P20"/>
        <w:jc w:val="both"/>
        <w:rPr>
          <w:rFonts w:ascii="Arial" w:hAnsi="Arial" w:cstheme="minorBidi"/>
          <w:sz w:val="20"/>
          <w:lang w:val="ca-ES" w:eastAsia="ca-ES"/>
        </w:rPr>
      </w:pPr>
      <w:r>
        <w:rPr>
          <w:rFonts w:ascii="Arial" w:hAnsi="Arial" w:cstheme="minorBidi"/>
          <w:sz w:val="20"/>
          <w:lang w:val="ca-ES" w:eastAsia="ca-ES"/>
        </w:rPr>
        <w:t>Queden derogades totes les disposicions municipals del mateix rang o inferior que s’oposin al que estableix aquesta Ordenança.</w:t>
      </w:r>
    </w:p>
    <w:p>
      <w:pPr>
        <w:pStyle w:val="P20"/>
        <w:jc w:val="both"/>
        <w:rPr>
          <w:rFonts w:ascii="Arial" w:hAnsi="Arial" w:cstheme="minorBidi"/>
          <w:b w:val="1"/>
          <w:sz w:val="20"/>
          <w:lang w:val="ca-ES" w:eastAsia="ca-ES"/>
        </w:rPr>
      </w:pPr>
    </w:p>
    <w:p>
      <w:pPr>
        <w:pStyle w:val="P20"/>
        <w:jc w:val="both"/>
        <w:rPr>
          <w:rFonts w:ascii="Arial" w:hAnsi="Arial" w:cstheme="minorBidi"/>
          <w:b w:val="1"/>
          <w:sz w:val="20"/>
          <w:lang w:val="ca-ES" w:eastAsia="ca-ES"/>
        </w:rPr>
      </w:pPr>
    </w:p>
    <w:p>
      <w:pPr>
        <w:pStyle w:val="P20"/>
        <w:jc w:val="both"/>
        <w:rPr>
          <w:rFonts w:ascii="Arial" w:hAnsi="Arial" w:cstheme="minorBidi"/>
          <w:sz w:val="20"/>
          <w:lang w:val="ca-ES" w:eastAsia="ca-ES"/>
        </w:rPr>
      </w:pPr>
      <w:r>
        <w:rPr>
          <w:rFonts w:ascii="Arial" w:hAnsi="Arial" w:cstheme="minorBidi"/>
          <w:b w:val="1"/>
          <w:sz w:val="20"/>
          <w:lang w:val="ca-ES" w:eastAsia="ca-ES"/>
        </w:rPr>
        <w:t>Disposició final</w:t>
      </w:r>
    </w:p>
    <w:p>
      <w:pPr>
        <w:pStyle w:val="P20"/>
        <w:jc w:val="both"/>
        <w:rPr>
          <w:rFonts w:ascii="Arial" w:hAnsi="Arial" w:cstheme="minorBidi"/>
          <w:sz w:val="20"/>
          <w:lang w:val="ca-ES" w:eastAsia="ca-ES"/>
        </w:rPr>
      </w:pPr>
    </w:p>
    <w:p>
      <w:pPr>
        <w:pStyle w:val="P7"/>
        <w:jc w:val="both"/>
        <w:rPr>
          <w:rFonts w:cstheme="minorBidi"/>
          <w:color w:val="auto"/>
          <w:sz w:val="20"/>
          <w:lang w:val="ca-ES" w:eastAsia="ca-ES"/>
        </w:rPr>
      </w:pPr>
      <w:r>
        <w:rPr>
          <w:rFonts w:cstheme="minorBidi"/>
          <w:color w:val="auto"/>
          <w:sz w:val="20"/>
          <w:lang w:val="ca-ES" w:eastAsia="ca-ES"/>
        </w:rPr>
        <w:t>Aquesta Ordenança entrarà en vigor una vegada publicat íntegrament el seu text en el Butlletí Oficial de les Illes Balears i transcorregut el termini de quinze dies hàbils previst en l’article 65.2 de la Llei 7/1985, de 2 d’abril, reguladora de les bases del règim local, i romandrà vigent fins que se n’acordi la modificació o derogació expressa.</w:t>
      </w:r>
      <w:r>
        <w:rPr>
          <w:rFonts w:cstheme="minorBidi"/>
          <w:color w:val="auto"/>
          <w:sz w:val="20"/>
          <w:lang w:val="es-ES" w:eastAsia="es-ES"/>
        </w:rPr>
        <w:t>"</w:t>
      </w:r>
    </w:p>
    <w:p>
      <w:pPr>
        <w:jc w:val="both"/>
        <w:rPr>
          <w:rFonts w:ascii="Arial" w:hAnsi="Arial" w:cstheme="minorBidi"/>
          <w:sz w:val="22"/>
          <w:lang w:val="es-ES" w:eastAsia="es-ES"/>
        </w:rPr>
      </w:pPr>
    </w:p>
    <w:sectPr>
      <w:headerReference xmlns:r="http://schemas.openxmlformats.org/officeDocument/2006/relationships" w:type="default" r:id="RelHdr1"/>
      <w:footerReference xmlns:r="http://schemas.openxmlformats.org/officeDocument/2006/relationships" w:type="default" r:id="RelFtr1"/>
      <w:type w:val="nextPage"/>
      <w:pgSz w:w="11906" w:h="16838" w:code="0" w:orient="landscape"/>
      <w:pgMar w:left="1080" w:right="1080" w:top="1440" w:bottom="1440" w:header="567" w:footer="580" w:gutter="0"/>
      <w:pgNumType w:start="1" w:chapSep="period"/>
    </w:sectPr>
  </w:body>
</w:document>
</file>

<file path=word/footer1.xml><?xml version="1.0" encoding="utf-8"?>
<w:ft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mc:Ignorable="wp14 w14 w15">
  <w:p>
    <w:pPr>
      <w:pStyle w:val="P7"/>
      <w:widowControl w:val="1"/>
      <w:shd w:val="clear" w:fill="auto"/>
      <w:rPr>
        <w:lang w:val="ca-ES"/>
      </w:rPr>
    </w:pPr>
  </w:p>
</w:ftr>
</file>

<file path=word/header1.xml><?xml version="1.0" encoding="utf-8"?>
<w:hd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mc:Ignorable="wp14 w14 w15">
  <w:p>
    <w:pPr>
      <w:pStyle w:val="P19"/>
      <w:tabs>
        <w:tab w:val="center" w:pos="4252" w:leader="none"/>
        <w:tab w:val="clear" w:pos="4819" w:leader="none"/>
        <w:tab w:val="right" w:pos="8504" w:leader="none"/>
        <w:tab w:val="clear" w:pos="9638" w:leader="none"/>
      </w:tabs>
      <w:rPr>
        <w:rFonts w:ascii="Courier New" w:hAnsi="Courier New"/>
        <w:sz w:val="24"/>
        <w:lang w:val="ca-ES" w:bidi="ar-SA" w:eastAsia="zh-CN"/>
      </w:rPr>
    </w:pPr>
    <w:r>
      <w:rPr>
        <w:rFonts w:ascii="Arial" w:hAnsi="Arial" w:cstheme="minorBidi" w:eastAsia="Arial"/>
        <w:color w:val="auto"/>
      </w:rPr>
      <w:drawing>
        <wp:anchor xmlns:wp="http://schemas.openxmlformats.org/drawingml/2006/wordprocessingDrawing" distT="0" distB="0" distL="114300" distR="114300" simplePos="0" relativeHeight="1" behindDoc="1" locked="0" layoutInCell="0" allowOverlap="1">
          <wp:simplePos x="0" y="0"/>
          <wp:positionH relativeFrom="column">
            <wp:posOffset>24130</wp:posOffset>
          </wp:positionH>
          <wp:positionV relativeFrom="paragraph">
            <wp:posOffset>40640</wp:posOffset>
          </wp:positionV>
          <wp:extent cx="1095375" cy="811530"/>
          <wp:effectExtent l="0" t="0" r="0" b="0"/>
          <wp:wrapSquare wrapText="bothSides"/>
          <wp:docPr id="4" name="Imat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1"/>
                  <pic:cNvPicPr>
                    <a:picLocks noChangeAspect="1"/>
                  </pic:cNvPicPr>
                </pic:nvPicPr>
                <pic:blipFill dpi="0">
                  <a:blip xmlns:r="http://schemas.openxmlformats.org/officeDocument/2006/relationships" r:embed="Relimage1"/>
                  <a:srcRect/>
                  <a:stretch>
                    <a:fillRect/>
                  </a:stretch>
                </pic:blipFill>
                <pic:spPr bwMode="auto">
                  <a:xfrm>
                    <a:off x="0" y="0"/>
                    <a:ext cx="1095375" cy="811530"/>
                  </a:xfrm>
                  <a:prstGeom prst="rect"/>
                  <a:noFill/>
                  <a:ln>
                    <a:noFill/>
                  </a:ln>
                </pic:spPr>
              </pic:pic>
            </a:graphicData>
          </a:graphic>
        </wp:anchor>
      </w:drawing>
    </w:r>
    <w:r>
      <w:rPr>
        <w:rFonts w:ascii="Courier New" w:hAnsi="Courier New"/>
        <w:sz w:val="24"/>
        <w:lang w:val="ca-ES" w:bidi="ar-SA" w:eastAsia="zh-CN"/>
      </w:rPr>
      <w:tab/>
    </w:r>
  </w:p>
  <w:p>
    <w:pPr>
      <w:pStyle w:val="P19"/>
      <w:tabs>
        <w:tab w:val="center" w:pos="4252" w:leader="none"/>
        <w:tab w:val="clear" w:pos="4819" w:leader="none"/>
        <w:tab w:val="right" w:pos="8504" w:leader="none"/>
        <w:tab w:val="clear" w:pos="9638" w:leader="none"/>
      </w:tabs>
      <w:jc w:val="right"/>
      <w:rPr>
        <w:rFonts w:ascii="Rabelo" w:hAnsi="Rabelo"/>
        <w:color w:val="999999"/>
        <w:sz w:val="16"/>
        <w:lang w:val="ca-ES" w:bidi="ar-SA" w:eastAsia="zh-CN"/>
      </w:rPr>
    </w:pPr>
    <w:r>
      <w:rPr>
        <w:rFonts w:ascii="Rabelo" w:hAnsi="Rabelo"/>
        <w:color w:val="999999"/>
        <w:sz w:val="16"/>
        <w:lang w:val="es-ES" w:bidi="es-ES" w:eastAsia="es-ES"/>
      </w:rPr>
      <w:t xml:space="preserve">Carrer </w:t>
    </w:r>
    <w:r>
      <w:rPr>
        <w:rFonts w:ascii="Rabelo" w:hAnsi="Rabelo"/>
        <w:color w:val="999999"/>
        <w:sz w:val="16"/>
        <w:lang w:val="ca-ES" w:bidi="ar-SA" w:eastAsia="zh-CN"/>
      </w:rPr>
      <w:t>Sant Bartomeu, 55</w:t>
    </w:r>
  </w:p>
  <w:p>
    <w:pPr>
      <w:pStyle w:val="P19"/>
      <w:tabs>
        <w:tab w:val="center" w:pos="4252" w:leader="none"/>
        <w:tab w:val="clear" w:pos="4819" w:leader="none"/>
        <w:tab w:val="right" w:pos="8504" w:leader="none"/>
        <w:tab w:val="clear" w:pos="9638" w:leader="none"/>
      </w:tabs>
      <w:jc w:val="right"/>
      <w:rPr>
        <w:rFonts w:ascii="Rabelo" w:hAnsi="Rabelo"/>
        <w:color w:val="999999"/>
        <w:sz w:val="16"/>
        <w:lang w:val="ca-ES" w:bidi="ar-SA" w:eastAsia="zh-CN"/>
      </w:rPr>
    </w:pPr>
    <w:r>
      <w:rPr>
        <w:rFonts w:ascii="Rabelo" w:hAnsi="Rabelo"/>
        <w:color w:val="999999"/>
        <w:sz w:val="16"/>
        <w:lang w:val="ca-ES" w:bidi="ar-SA" w:eastAsia="zh-CN"/>
      </w:rPr>
      <w:tab/>
      <w:tab/>
      <w:t>07750 – Ferreries · Illes Balears</w:t>
    </w:r>
  </w:p>
  <w:p>
    <w:pPr>
      <w:pStyle w:val="P19"/>
      <w:tabs>
        <w:tab w:val="center" w:pos="4252" w:leader="none"/>
        <w:tab w:val="clear" w:pos="4819" w:leader="none"/>
        <w:tab w:val="right" w:pos="8504" w:leader="none"/>
        <w:tab w:val="clear" w:pos="9638" w:leader="none"/>
      </w:tabs>
      <w:jc w:val="right"/>
      <w:rPr>
        <w:rFonts w:ascii="Arial" w:hAnsi="Arial" w:cstheme="minorBidi" w:eastAsia="Arial"/>
        <w:color w:val="auto"/>
      </w:rPr>
    </w:pPr>
    <w:r>
      <w:rPr>
        <w:rFonts w:ascii="Rabelo" w:hAnsi="Rabelo"/>
        <w:color w:val="999999"/>
        <w:sz w:val="16"/>
        <w:lang w:val="ca-ES" w:bidi="ar-SA" w:eastAsia="zh-CN"/>
      </w:rPr>
      <w:tab/>
      <w:tab/>
      <w:t>tel. 97137 30 03 · fax 971 15 50 1</w:t>
    </w:r>
    <w:r>
      <w:rPr>
        <w:rFonts w:ascii="Rabelo" w:hAnsi="Rabelo"/>
        <w:color w:val="999999"/>
        <w:sz w:val="16"/>
        <w:lang w:val="es-ES" w:bidi="es-ES" w:eastAsia="es-ES"/>
      </w:rPr>
      <w:t>5</w:t>
    </w:r>
  </w:p>
  <w:p>
    <w:pPr>
      <w:pStyle w:val="P7"/>
      <w:widowControl w:val="1"/>
      <w:shd w:val="clear" w:fill="auto"/>
      <w:rPr>
        <w:rFonts w:ascii="Arial" w:hAnsi="Arial" w:cstheme="minorBidi" w:eastAsia="Arial"/>
        <w:color w:val="auto"/>
      </w:rPr>
    </w:pPr>
  </w:p>
  <w:p>
    <w:pPr>
      <w:pStyle w:val="P7"/>
      <w:widowControl w:val="1"/>
      <w:shd w:val="clear" w:fill="auto"/>
      <w:rPr>
        <w:lang w:val="ca-ES"/>
      </w:rPr>
    </w:pPr>
  </w:p>
  <w:p>
    <w:pPr>
      <w:pStyle w:val="P7"/>
      <w:widowControl w:val="1"/>
      <w:shd w:val="clear" w:fill="auto"/>
      <w:rPr>
        <w:lang w:val="ca-ES"/>
      </w:rPr>
    </w:pPr>
  </w:p>
</w:hdr>
</file>

<file path=word/numbering.xml><?xml version="1.0" encoding="utf-8"?>
<w:numbering xmlns:w="http://schemas.openxmlformats.org/wordprocessingml/2006/main">
  <w:abstractNum w:abstractNumId="0">
    <w:nsid w:val="7B61A1B5"/>
    <w:multiLevelType w:val="hybridMultilevel"/>
    <w:lvl w:ilvl="0" w:tplc="2052CC51">
      <w:start w:val="1"/>
      <w:numFmt w:val="decimal"/>
      <w:suff w:val="tab"/>
      <w:lvlText w:val="%1."/>
      <w:lvlJc w:val="left"/>
      <w:pPr>
        <w:ind w:hanging="567" w:left="720"/>
      </w:pPr>
      <w:rPr/>
    </w:lvl>
    <w:lvl w:ilvl="1" w:tplc="5B2C814D">
      <w:start w:val="1"/>
      <w:numFmt w:val="decimal"/>
      <w:suff w:val="tab"/>
      <w:lvlText w:val="%2."/>
      <w:lvlJc w:val="left"/>
      <w:pPr>
        <w:ind w:hanging="567" w:left="1440"/>
      </w:pPr>
      <w:rPr/>
    </w:lvl>
    <w:lvl w:ilvl="2" w:tplc="12D5CA6C">
      <w:start w:val="1"/>
      <w:numFmt w:val="decimal"/>
      <w:suff w:val="tab"/>
      <w:lvlText w:val="%3."/>
      <w:lvlJc w:val="left"/>
      <w:pPr>
        <w:ind w:hanging="567" w:left="2160"/>
      </w:pPr>
      <w:rPr/>
    </w:lvl>
    <w:lvl w:ilvl="3" w:tplc="2B786308">
      <w:start w:val="1"/>
      <w:numFmt w:val="decimal"/>
      <w:suff w:val="tab"/>
      <w:lvlText w:val="%4."/>
      <w:lvlJc w:val="left"/>
      <w:pPr>
        <w:ind w:hanging="567" w:left="2880"/>
      </w:pPr>
      <w:rPr/>
    </w:lvl>
    <w:lvl w:ilvl="4" w:tplc="234FDEC2">
      <w:start w:val="1"/>
      <w:numFmt w:val="decimal"/>
      <w:suff w:val="tab"/>
      <w:lvlText w:val="%5."/>
      <w:lvlJc w:val="left"/>
      <w:pPr>
        <w:ind w:hanging="567" w:left="3600"/>
      </w:pPr>
      <w:rPr/>
    </w:lvl>
    <w:lvl w:ilvl="5" w:tplc="0A437C6C">
      <w:start w:val="1"/>
      <w:numFmt w:val="decimal"/>
      <w:suff w:val="tab"/>
      <w:lvlText w:val="%6."/>
      <w:lvlJc w:val="left"/>
      <w:pPr>
        <w:ind w:hanging="567" w:left="4320"/>
      </w:pPr>
      <w:rPr/>
    </w:lvl>
    <w:lvl w:ilvl="6" w:tplc="1989CB46">
      <w:start w:val="1"/>
      <w:numFmt w:val="decimal"/>
      <w:suff w:val="tab"/>
      <w:lvlText w:val="%7."/>
      <w:lvlJc w:val="left"/>
      <w:pPr>
        <w:ind w:hanging="567" w:left="5040"/>
      </w:pPr>
      <w:rPr/>
    </w:lvl>
    <w:lvl w:ilvl="7" w:tplc="5C785EF1">
      <w:start w:val="1"/>
      <w:numFmt w:val="decimal"/>
      <w:suff w:val="tab"/>
      <w:lvlText w:val="%8."/>
      <w:lvlJc w:val="left"/>
      <w:pPr>
        <w:ind w:hanging="567" w:left="5760"/>
      </w:pPr>
      <w:rPr/>
    </w:lvl>
    <w:lvl w:ilvl="8" w:tplc="619D3B81">
      <w:start w:val="1"/>
      <w:numFmt w:val="decimal"/>
      <w:suff w:val="tab"/>
      <w:lvlText w:val="%9."/>
      <w:lvlJc w:val="left"/>
      <w:pPr>
        <w:ind w:hanging="567" w:left="6480"/>
      </w:pPr>
      <w:rPr/>
    </w:lvl>
  </w:abstractNum>
  <w:abstractNum w:abstractNumId="1">
    <w:nsid w:val="1D6BBA59"/>
    <w:multiLevelType w:val="hybridMultilevel"/>
    <w:lvl w:ilvl="0" w:tplc="0504A48C">
      <w:start w:val="1"/>
      <w:numFmt w:val="bullet"/>
      <w:suff w:val="tab"/>
      <w:lvlText w:val="·"/>
      <w:lvlJc w:val="left"/>
      <w:pPr>
        <w:ind w:hanging="567" w:left="720"/>
      </w:pPr>
      <w:rPr>
        <w:rFonts w:ascii="Symbol" w:hAnsi="Symbol" w:cs="Symbol"/>
        <w:rtl w:val="0"/>
        <w:cs/>
      </w:rPr>
    </w:lvl>
    <w:lvl w:ilvl="1" w:tplc="28A4D259">
      <w:start w:val="1"/>
      <w:numFmt w:val="bullet"/>
      <w:suff w:val="tab"/>
      <w:lvlText w:val="o"/>
      <w:lvlJc w:val="left"/>
      <w:pPr>
        <w:ind w:hanging="567" w:left="1440"/>
      </w:pPr>
      <w:rPr>
        <w:rFonts w:ascii="Symbol" w:hAnsi="Symbol" w:cs="Symbol"/>
        <w:rtl w:val="0"/>
        <w:cs/>
      </w:rPr>
    </w:lvl>
    <w:lvl w:ilvl="2" w:tplc="1FEF8772">
      <w:start w:val="1"/>
      <w:numFmt w:val="bullet"/>
      <w:suff w:val="tab"/>
      <w:lvlText w:val="·"/>
      <w:lvlJc w:val="left"/>
      <w:pPr>
        <w:ind w:hanging="567" w:left="2160"/>
      </w:pPr>
      <w:rPr>
        <w:rFonts w:ascii="Symbol" w:hAnsi="Symbol" w:cs="Symbol"/>
        <w:rtl w:val="0"/>
        <w:cs/>
      </w:rPr>
    </w:lvl>
    <w:lvl w:ilvl="3" w:tplc="56D5D2EB">
      <w:start w:val="1"/>
      <w:numFmt w:val="bullet"/>
      <w:suff w:val="tab"/>
      <w:lvlText w:val="o"/>
      <w:lvlJc w:val="left"/>
      <w:pPr>
        <w:ind w:hanging="567" w:left="2880"/>
      </w:pPr>
      <w:rPr>
        <w:rFonts w:ascii="Symbol" w:hAnsi="Symbol" w:cs="Symbol"/>
        <w:rtl w:val="0"/>
        <w:cs/>
      </w:rPr>
    </w:lvl>
    <w:lvl w:ilvl="4" w:tplc="36F269CC">
      <w:start w:val="1"/>
      <w:numFmt w:val="bullet"/>
      <w:suff w:val="tab"/>
      <w:lvlText w:val="·"/>
      <w:lvlJc w:val="left"/>
      <w:pPr>
        <w:ind w:hanging="567" w:left="3600"/>
      </w:pPr>
      <w:rPr>
        <w:rFonts w:ascii="Symbol" w:hAnsi="Symbol" w:cs="Symbol"/>
        <w:rtl w:val="0"/>
        <w:cs/>
      </w:rPr>
    </w:lvl>
    <w:lvl w:ilvl="5" w:tplc="6DD21AA8">
      <w:start w:val="1"/>
      <w:numFmt w:val="bullet"/>
      <w:suff w:val="tab"/>
      <w:lvlText w:val="o"/>
      <w:lvlJc w:val="left"/>
      <w:pPr>
        <w:ind w:hanging="567" w:left="4320"/>
      </w:pPr>
      <w:rPr>
        <w:rFonts w:ascii="Symbol" w:hAnsi="Symbol" w:cs="Symbol"/>
        <w:rtl w:val="0"/>
        <w:cs/>
      </w:rPr>
    </w:lvl>
    <w:lvl w:ilvl="6" w:tplc="25831058">
      <w:start w:val="1"/>
      <w:numFmt w:val="bullet"/>
      <w:suff w:val="tab"/>
      <w:lvlText w:val="·"/>
      <w:lvlJc w:val="left"/>
      <w:pPr>
        <w:ind w:hanging="567" w:left="5040"/>
      </w:pPr>
      <w:rPr>
        <w:rFonts w:ascii="Symbol" w:hAnsi="Symbol" w:cs="Symbol"/>
        <w:rtl w:val="0"/>
        <w:cs/>
      </w:rPr>
    </w:lvl>
    <w:lvl w:ilvl="7" w:tplc="52325BE2">
      <w:start w:val="1"/>
      <w:numFmt w:val="bullet"/>
      <w:suff w:val="tab"/>
      <w:lvlText w:val="o"/>
      <w:lvlJc w:val="left"/>
      <w:pPr>
        <w:ind w:hanging="567" w:left="5760"/>
      </w:pPr>
      <w:rPr>
        <w:rFonts w:ascii="Symbol" w:hAnsi="Symbol" w:cs="Symbol"/>
        <w:rtl w:val="0"/>
        <w:cs/>
      </w:rPr>
    </w:lvl>
    <w:lvl w:ilvl="8" w:tplc="07F90C1D">
      <w:start w:val="1"/>
      <w:numFmt w:val="bullet"/>
      <w:suff w:val="tab"/>
      <w:lvlText w:val="·"/>
      <w:lvlJc w:val="left"/>
      <w:pPr>
        <w:ind w:hanging="567" w:left="6480"/>
      </w:pPr>
      <w:rPr>
        <w:rFonts w:ascii="Symbol" w:hAnsi="Symbol" w:cs="Symbol"/>
        <w:rtl w:val="0"/>
        <w:cs/>
      </w:rPr>
    </w:lvl>
  </w:abstractNum>
  <w:abstractNum w:abstractNumId="2">
    <w:nsid w:val="00000001"/>
    <w:multiLevelType w:val="multilevel"/>
    <w:lvl w:ilvl="0">
      <w:start w:val="1"/>
      <w:numFmt w:val="decimal"/>
      <w:suff w:val="nothing"/>
      <w:lvlText w:val=""/>
      <w:lvlJc w:val="left"/>
      <w:pPr>
        <w:ind w:hanging="432" w:left="432"/>
      </w:pPr>
      <w:rPr>
        <w:noProof w:val="0"/>
        <w:color w:val="000000"/>
        <w:highlight w:val="white"/>
        <w:lang w:val="en-US" w:eastAsia="en-US"/>
      </w:rPr>
    </w:lvl>
    <w:lvl w:ilvl="1">
      <w:start w:val="1"/>
      <w:numFmt w:val="decimal"/>
      <w:suff w:val="nothing"/>
      <w:lvlText w:val=""/>
      <w:lvlJc w:val="left"/>
      <w:pPr>
        <w:ind w:hanging="576" w:left="576"/>
      </w:pPr>
      <w:rPr>
        <w:noProof w:val="0"/>
        <w:color w:val="000000"/>
        <w:highlight w:val="white"/>
        <w:lang w:val="en-US" w:eastAsia="en-US"/>
      </w:rPr>
    </w:lvl>
    <w:lvl w:ilvl="2">
      <w:start w:val="1"/>
      <w:numFmt w:val="decimal"/>
      <w:suff w:val="nothing"/>
      <w:lvlText w:val=""/>
      <w:lvlJc w:val="left"/>
      <w:pPr>
        <w:ind w:hanging="720" w:left="720"/>
      </w:pPr>
      <w:rPr>
        <w:noProof w:val="0"/>
        <w:color w:val="000000"/>
        <w:highlight w:val="white"/>
        <w:lang w:val="en-US" w:eastAsia="en-US"/>
      </w:rPr>
    </w:lvl>
    <w:lvl w:ilvl="3">
      <w:start w:val="1"/>
      <w:numFmt w:val="decimal"/>
      <w:suff w:val="nothing"/>
      <w:lvlText w:val=""/>
      <w:lvlJc w:val="left"/>
      <w:pPr>
        <w:ind w:hanging="864" w:left="864"/>
      </w:pPr>
      <w:rPr>
        <w:noProof w:val="0"/>
        <w:color w:val="000000"/>
        <w:highlight w:val="white"/>
        <w:lang w:val="en-US" w:eastAsia="en-US"/>
      </w:rPr>
    </w:lvl>
    <w:lvl w:ilvl="4">
      <w:start w:val="1"/>
      <w:numFmt w:val="decimal"/>
      <w:suff w:val="nothing"/>
      <w:lvlText w:val=""/>
      <w:lvlJc w:val="left"/>
      <w:pPr>
        <w:ind w:hanging="1008" w:left="1008"/>
      </w:pPr>
      <w:rPr>
        <w:noProof w:val="0"/>
        <w:color w:val="000000"/>
        <w:highlight w:val="white"/>
        <w:lang w:val="en-US" w:eastAsia="en-US"/>
      </w:rPr>
    </w:lvl>
    <w:lvl w:ilvl="5">
      <w:start w:val="1"/>
      <w:numFmt w:val="decimal"/>
      <w:suff w:val="nothing"/>
      <w:lvlText w:val=""/>
      <w:lvlJc w:val="left"/>
      <w:pPr>
        <w:ind w:hanging="1152" w:left="1152"/>
      </w:pPr>
      <w:rPr>
        <w:noProof w:val="0"/>
        <w:color w:val="000000"/>
        <w:highlight w:val="white"/>
        <w:lang w:val="en-US" w:eastAsia="en-US"/>
      </w:rPr>
    </w:lvl>
    <w:lvl w:ilvl="6">
      <w:start w:val="1"/>
      <w:numFmt w:val="decimal"/>
      <w:suff w:val="nothing"/>
      <w:lvlText w:val=""/>
      <w:lvlJc w:val="left"/>
      <w:pPr>
        <w:ind w:hanging="1296" w:left="1296"/>
      </w:pPr>
      <w:rPr>
        <w:noProof w:val="0"/>
        <w:color w:val="000000"/>
        <w:highlight w:val="white"/>
        <w:lang w:val="en-US" w:eastAsia="en-US"/>
      </w:rPr>
    </w:lvl>
    <w:lvl w:ilvl="7">
      <w:start w:val="1"/>
      <w:numFmt w:val="decimal"/>
      <w:suff w:val="nothing"/>
      <w:lvlText w:val=""/>
      <w:lvlJc w:val="left"/>
      <w:pPr>
        <w:ind w:hanging="1440" w:left="1440"/>
      </w:pPr>
      <w:rPr>
        <w:noProof w:val="0"/>
        <w:color w:val="000000"/>
        <w:highlight w:val="white"/>
        <w:lang w:val="en-US" w:eastAsia="en-US"/>
      </w:rPr>
    </w:lvl>
    <w:lvl w:ilvl="8">
      <w:start w:val="1"/>
      <w:numFmt w:val="decimal"/>
      <w:suff w:val="nothing"/>
      <w:lvlText w:val=""/>
      <w:lvlJc w:val="left"/>
      <w:pPr>
        <w:ind w:hanging="1584" w:left="1584"/>
      </w:pPr>
      <w:rPr>
        <w:noProof w:val="0"/>
        <w:color w:val="000000"/>
        <w:highlight w:val="white"/>
        <w:lang w:val="en-US" w:eastAsia="en-US"/>
      </w:rPr>
    </w:lvl>
  </w:abstractNum>
  <w:abstractNum w:abstractNumId="3">
    <w:nsid w:val="00000002"/>
    <w:multiLevelType w:val="multilevel"/>
    <w:lvl w:ilvl="0">
      <w:start w:val="1"/>
      <w:numFmt w:val="bullet"/>
      <w:suff w:val="tab"/>
      <w:lvlText w:val="·"/>
      <w:lvlJc w:val="left"/>
      <w:pPr>
        <w:ind w:hanging="360" w:left="720"/>
      </w:pPr>
      <w:rPr>
        <w:rFonts w:ascii="Symbol" w:hAnsi="Symbol" w:cs="Symbol"/>
        <w:rtl w:val="0"/>
        <w:cs/>
      </w:rPr>
    </w:lvl>
    <w:lvl w:ilvl="1">
      <w:start w:val="1"/>
      <w:numFmt w:val="bullet"/>
      <w:suff w:val="tab"/>
      <w:lvlText w:val="◦"/>
      <w:lvlJc w:val="left"/>
      <w:pPr>
        <w:ind w:hanging="360" w:left="1080"/>
      </w:pPr>
      <w:rPr>
        <w:rFonts w:ascii="OpenSymbol" w:hAnsi="OpenSymbol" w:cs="OpenSymbol" w:eastAsia="OpenSymbol"/>
        <w:rtl w:val="0"/>
        <w:cs/>
      </w:rPr>
    </w:lvl>
    <w:lvl w:ilvl="2">
      <w:start w:val="1"/>
      <w:numFmt w:val="bullet"/>
      <w:suff w:val="tab"/>
      <w:lvlText w:val="▪"/>
      <w:lvlJc w:val="left"/>
      <w:pPr>
        <w:ind w:hanging="360" w:left="1440"/>
      </w:pPr>
      <w:rPr>
        <w:rFonts w:ascii="OpenSymbol" w:hAnsi="OpenSymbol" w:cs="OpenSymbol" w:eastAsia="OpenSymbol"/>
        <w:rtl w:val="0"/>
        <w:cs/>
      </w:rPr>
    </w:lvl>
    <w:lvl w:ilvl="3">
      <w:start w:val="1"/>
      <w:numFmt w:val="bullet"/>
      <w:suff w:val="tab"/>
      <w:lvlText w:val="·"/>
      <w:lvlJc w:val="left"/>
      <w:pPr>
        <w:ind w:hanging="360" w:left="1800"/>
      </w:pPr>
      <w:rPr>
        <w:rFonts w:ascii="Symbol" w:hAnsi="Symbol" w:cs="Symbol"/>
        <w:rtl w:val="0"/>
        <w:cs/>
      </w:rPr>
    </w:lvl>
    <w:lvl w:ilvl="4">
      <w:start w:val="1"/>
      <w:numFmt w:val="bullet"/>
      <w:suff w:val="tab"/>
      <w:lvlText w:val="◦"/>
      <w:lvlJc w:val="left"/>
      <w:pPr>
        <w:ind w:hanging="360" w:left="2160"/>
      </w:pPr>
      <w:rPr>
        <w:rFonts w:ascii="OpenSymbol" w:hAnsi="OpenSymbol" w:cs="OpenSymbol" w:eastAsia="OpenSymbol"/>
        <w:rtl w:val="0"/>
        <w:cs/>
      </w:rPr>
    </w:lvl>
    <w:lvl w:ilvl="5">
      <w:start w:val="1"/>
      <w:numFmt w:val="bullet"/>
      <w:suff w:val="tab"/>
      <w:lvlText w:val="▪"/>
      <w:lvlJc w:val="left"/>
      <w:pPr>
        <w:ind w:hanging="360" w:left="2520"/>
      </w:pPr>
      <w:rPr>
        <w:rFonts w:ascii="OpenSymbol" w:hAnsi="OpenSymbol" w:cs="OpenSymbol" w:eastAsia="OpenSymbol"/>
        <w:rtl w:val="0"/>
        <w:cs/>
      </w:rPr>
    </w:lvl>
    <w:lvl w:ilvl="6">
      <w:start w:val="1"/>
      <w:numFmt w:val="bullet"/>
      <w:suff w:val="tab"/>
      <w:lvlText w:val="·"/>
      <w:lvlJc w:val="left"/>
      <w:pPr>
        <w:ind w:hanging="360" w:left="2880"/>
      </w:pPr>
      <w:rPr>
        <w:rFonts w:ascii="Symbol" w:hAnsi="Symbol" w:cs="Symbol"/>
        <w:rtl w:val="0"/>
        <w:cs/>
      </w:rPr>
    </w:lvl>
    <w:lvl w:ilvl="7">
      <w:start w:val="1"/>
      <w:numFmt w:val="bullet"/>
      <w:suff w:val="tab"/>
      <w:lvlText w:val="◦"/>
      <w:lvlJc w:val="left"/>
      <w:pPr>
        <w:ind w:hanging="360" w:left="3240"/>
      </w:pPr>
      <w:rPr>
        <w:rFonts w:ascii="OpenSymbol" w:hAnsi="OpenSymbol" w:cs="OpenSymbol" w:eastAsia="OpenSymbol"/>
        <w:rtl w:val="0"/>
        <w:cs/>
      </w:rPr>
    </w:lvl>
    <w:lvl w:ilvl="8">
      <w:start w:val="1"/>
      <w:numFmt w:val="bullet"/>
      <w:suff w:val="tab"/>
      <w:lvlText w:val="▪"/>
      <w:lvlJc w:val="left"/>
      <w:pPr>
        <w:ind w:hanging="360" w:left="3600"/>
      </w:pPr>
      <w:rPr>
        <w:rFonts w:ascii="OpenSymbol" w:hAnsi="OpenSymbol" w:cs="OpenSymbol" w:eastAsia="OpenSymbol"/>
        <w:rtl w:val="0"/>
        <w:cs/>
      </w:rPr>
    </w:lvl>
  </w:abstractNum>
  <w:abstractNum w:abstractNumId="4">
    <w:nsid w:val="00000003"/>
    <w:multiLevelType w:val="multilevel"/>
    <w:lvl w:ilvl="0">
      <w:start w:val="1"/>
      <w:numFmt w:val="bullet"/>
      <w:suff w:val="tab"/>
      <w:lvlText w:val="•"/>
      <w:lvlJc w:val="left"/>
      <w:pPr>
        <w:ind w:hanging="360" w:left="720"/>
      </w:pPr>
      <w:rPr>
        <w:rFonts w:ascii="OpenSymbol" w:hAnsi="OpenSymbol" w:cs="OpenSymbol" w:eastAsia="OpenSymbol"/>
        <w:noProof w:val="0"/>
        <w:color w:val="000000"/>
        <w:highlight w:val="white"/>
        <w:rtl w:val="0"/>
        <w:cs/>
        <w:lang w:val="en-US" w:bidi="en-US" w:eastAsia="en-US"/>
      </w:rPr>
    </w:lvl>
    <w:lvl w:ilvl="1">
      <w:start w:val="1"/>
      <w:numFmt w:val="bullet"/>
      <w:suff w:val="tab"/>
      <w:lvlText w:val="•"/>
      <w:lvlJc w:val="left"/>
      <w:pPr>
        <w:ind w:hanging="360" w:left="1080"/>
      </w:pPr>
      <w:rPr>
        <w:rFonts w:ascii="OpenSymbol" w:hAnsi="OpenSymbol" w:cs="OpenSymbol" w:eastAsia="OpenSymbol"/>
        <w:noProof w:val="0"/>
        <w:color w:val="000000"/>
        <w:highlight w:val="white"/>
        <w:rtl w:val="0"/>
        <w:cs/>
        <w:lang w:val="en-US" w:bidi="en-US" w:eastAsia="en-US"/>
      </w:rPr>
    </w:lvl>
    <w:lvl w:ilvl="2">
      <w:start w:val="1"/>
      <w:numFmt w:val="bullet"/>
      <w:suff w:val="tab"/>
      <w:lvlText w:val="•"/>
      <w:lvlJc w:val="left"/>
      <w:pPr>
        <w:ind w:hanging="360" w:left="1440"/>
      </w:pPr>
      <w:rPr>
        <w:rFonts w:ascii="OpenSymbol" w:hAnsi="OpenSymbol" w:cs="OpenSymbol" w:eastAsia="OpenSymbol"/>
        <w:noProof w:val="0"/>
        <w:color w:val="000000"/>
        <w:highlight w:val="white"/>
        <w:rtl w:val="0"/>
        <w:cs/>
        <w:lang w:val="en-US" w:bidi="en-US" w:eastAsia="en-US"/>
      </w:rPr>
    </w:lvl>
    <w:lvl w:ilvl="3">
      <w:start w:val="1"/>
      <w:numFmt w:val="bullet"/>
      <w:suff w:val="tab"/>
      <w:lvlText w:val="•"/>
      <w:lvlJc w:val="left"/>
      <w:pPr>
        <w:ind w:hanging="360" w:left="1800"/>
      </w:pPr>
      <w:rPr>
        <w:rFonts w:ascii="OpenSymbol" w:hAnsi="OpenSymbol" w:cs="OpenSymbol" w:eastAsia="OpenSymbol"/>
        <w:noProof w:val="0"/>
        <w:color w:val="000000"/>
        <w:highlight w:val="white"/>
        <w:rtl w:val="0"/>
        <w:cs/>
        <w:lang w:val="en-US" w:bidi="en-US" w:eastAsia="en-US"/>
      </w:rPr>
    </w:lvl>
    <w:lvl w:ilvl="4">
      <w:start w:val="1"/>
      <w:numFmt w:val="bullet"/>
      <w:suff w:val="tab"/>
      <w:lvlText w:val="•"/>
      <w:lvlJc w:val="left"/>
      <w:pPr>
        <w:ind w:hanging="360" w:left="2160"/>
      </w:pPr>
      <w:rPr>
        <w:rFonts w:ascii="OpenSymbol" w:hAnsi="OpenSymbol" w:cs="OpenSymbol" w:eastAsia="OpenSymbol"/>
        <w:noProof w:val="0"/>
        <w:color w:val="000000"/>
        <w:highlight w:val="white"/>
        <w:rtl w:val="0"/>
        <w:cs/>
        <w:lang w:val="en-US" w:bidi="en-US" w:eastAsia="en-US"/>
      </w:rPr>
    </w:lvl>
    <w:lvl w:ilvl="5">
      <w:start w:val="1"/>
      <w:numFmt w:val="bullet"/>
      <w:suff w:val="tab"/>
      <w:lvlText w:val="•"/>
      <w:lvlJc w:val="left"/>
      <w:pPr>
        <w:ind w:hanging="360" w:left="2520"/>
      </w:pPr>
      <w:rPr>
        <w:rFonts w:ascii="OpenSymbol" w:hAnsi="OpenSymbol" w:cs="OpenSymbol" w:eastAsia="OpenSymbol"/>
        <w:noProof w:val="0"/>
        <w:color w:val="000000"/>
        <w:highlight w:val="white"/>
        <w:rtl w:val="0"/>
        <w:cs/>
        <w:lang w:val="en-US" w:bidi="en-US" w:eastAsia="en-US"/>
      </w:rPr>
    </w:lvl>
    <w:lvl w:ilvl="6">
      <w:start w:val="1"/>
      <w:numFmt w:val="bullet"/>
      <w:suff w:val="tab"/>
      <w:lvlText w:val="•"/>
      <w:lvlJc w:val="left"/>
      <w:pPr>
        <w:ind w:hanging="360" w:left="2880"/>
      </w:pPr>
      <w:rPr>
        <w:rFonts w:ascii="OpenSymbol" w:hAnsi="OpenSymbol" w:cs="OpenSymbol" w:eastAsia="OpenSymbol"/>
        <w:noProof w:val="0"/>
        <w:color w:val="000000"/>
        <w:highlight w:val="white"/>
        <w:rtl w:val="0"/>
        <w:cs/>
        <w:lang w:val="en-US" w:bidi="en-US" w:eastAsia="en-US"/>
      </w:rPr>
    </w:lvl>
    <w:lvl w:ilvl="7">
      <w:start w:val="1"/>
      <w:numFmt w:val="bullet"/>
      <w:suff w:val="tab"/>
      <w:lvlText w:val="•"/>
      <w:lvlJc w:val="left"/>
      <w:pPr>
        <w:ind w:hanging="360" w:left="3240"/>
      </w:pPr>
      <w:rPr>
        <w:rFonts w:ascii="OpenSymbol" w:hAnsi="OpenSymbol" w:cs="OpenSymbol" w:eastAsia="OpenSymbol"/>
        <w:noProof w:val="0"/>
        <w:color w:val="000000"/>
        <w:highlight w:val="white"/>
        <w:rtl w:val="0"/>
        <w:cs/>
        <w:lang w:val="en-US" w:bidi="en-US" w:eastAsia="en-US"/>
      </w:rPr>
    </w:lvl>
    <w:lvl w:ilvl="8">
      <w:start w:val="1"/>
      <w:numFmt w:val="bullet"/>
      <w:suff w:val="tab"/>
      <w:lvlText w:val="•"/>
      <w:lvlJc w:val="left"/>
      <w:pPr>
        <w:ind w:hanging="360" w:left="3600"/>
      </w:pPr>
      <w:rPr>
        <w:rFonts w:ascii="OpenSymbol" w:hAnsi="OpenSymbol" w:cs="OpenSymbol" w:eastAsia="OpenSymbol"/>
        <w:noProof w:val="0"/>
        <w:color w:val="000000"/>
        <w:highlight w:val="white"/>
        <w:rtl w:val="0"/>
        <w:cs/>
        <w:lang w:val="en-US" w:bidi="en-US" w:eastAsia="en-US"/>
      </w:rPr>
    </w:lvl>
  </w:abstractNum>
  <w:abstractNum w:abstractNumId="5">
    <w:nsid w:val="00000004"/>
    <w:multiLevelType w:val="multilevel"/>
    <w:lvl w:ilvl="0">
      <w:start w:val="1"/>
      <w:numFmt w:val="bullet"/>
      <w:suff w:val="tab"/>
      <w:lvlText w:val="•"/>
      <w:lvlJc w:val="left"/>
      <w:pPr>
        <w:ind w:hanging="360" w:left="720"/>
      </w:pPr>
      <w:rPr>
        <w:rFonts w:ascii="OpenSymbol" w:hAnsi="OpenSymbol" w:cs="OpenSymbol" w:eastAsia="OpenSymbol"/>
        <w:noProof w:val="0"/>
        <w:color w:val="000000"/>
        <w:highlight w:val="white"/>
        <w:rtl w:val="0"/>
        <w:cs/>
        <w:lang w:val="en-US" w:bidi="en-US" w:eastAsia="en-US"/>
      </w:rPr>
    </w:lvl>
    <w:lvl w:ilvl="1">
      <w:start w:val="1"/>
      <w:numFmt w:val="bullet"/>
      <w:suff w:val="tab"/>
      <w:lvlText w:val="•"/>
      <w:lvlJc w:val="left"/>
      <w:pPr>
        <w:ind w:hanging="360" w:left="1080"/>
      </w:pPr>
      <w:rPr>
        <w:rFonts w:ascii="OpenSymbol" w:hAnsi="OpenSymbol" w:cs="OpenSymbol" w:eastAsia="OpenSymbol"/>
        <w:noProof w:val="0"/>
        <w:color w:val="000000"/>
        <w:highlight w:val="white"/>
        <w:rtl w:val="0"/>
        <w:cs/>
        <w:lang w:val="en-US" w:bidi="en-US" w:eastAsia="en-US"/>
      </w:rPr>
    </w:lvl>
    <w:lvl w:ilvl="2">
      <w:start w:val="1"/>
      <w:numFmt w:val="bullet"/>
      <w:suff w:val="tab"/>
      <w:lvlText w:val="•"/>
      <w:lvlJc w:val="left"/>
      <w:pPr>
        <w:ind w:hanging="360" w:left="1440"/>
      </w:pPr>
      <w:rPr>
        <w:rFonts w:ascii="OpenSymbol" w:hAnsi="OpenSymbol" w:cs="OpenSymbol" w:eastAsia="OpenSymbol"/>
        <w:noProof w:val="0"/>
        <w:color w:val="000000"/>
        <w:highlight w:val="white"/>
        <w:rtl w:val="0"/>
        <w:cs/>
        <w:lang w:val="en-US" w:bidi="en-US" w:eastAsia="en-US"/>
      </w:rPr>
    </w:lvl>
    <w:lvl w:ilvl="3">
      <w:start w:val="1"/>
      <w:numFmt w:val="bullet"/>
      <w:suff w:val="tab"/>
      <w:lvlText w:val="•"/>
      <w:lvlJc w:val="left"/>
      <w:pPr>
        <w:ind w:hanging="360" w:left="1800"/>
      </w:pPr>
      <w:rPr>
        <w:rFonts w:ascii="OpenSymbol" w:hAnsi="OpenSymbol" w:cs="OpenSymbol" w:eastAsia="OpenSymbol"/>
        <w:noProof w:val="0"/>
        <w:color w:val="000000"/>
        <w:highlight w:val="white"/>
        <w:rtl w:val="0"/>
        <w:cs/>
        <w:lang w:val="en-US" w:bidi="en-US" w:eastAsia="en-US"/>
      </w:rPr>
    </w:lvl>
    <w:lvl w:ilvl="4">
      <w:start w:val="1"/>
      <w:numFmt w:val="bullet"/>
      <w:suff w:val="tab"/>
      <w:lvlText w:val="•"/>
      <w:lvlJc w:val="left"/>
      <w:pPr>
        <w:ind w:hanging="360" w:left="2160"/>
      </w:pPr>
      <w:rPr>
        <w:rFonts w:ascii="OpenSymbol" w:hAnsi="OpenSymbol" w:cs="OpenSymbol" w:eastAsia="OpenSymbol"/>
        <w:noProof w:val="0"/>
        <w:color w:val="000000"/>
        <w:highlight w:val="white"/>
        <w:rtl w:val="0"/>
        <w:cs/>
        <w:lang w:val="en-US" w:bidi="en-US" w:eastAsia="en-US"/>
      </w:rPr>
    </w:lvl>
    <w:lvl w:ilvl="5">
      <w:start w:val="1"/>
      <w:numFmt w:val="bullet"/>
      <w:suff w:val="tab"/>
      <w:lvlText w:val="•"/>
      <w:lvlJc w:val="left"/>
      <w:pPr>
        <w:ind w:hanging="360" w:left="2520"/>
      </w:pPr>
      <w:rPr>
        <w:rFonts w:ascii="OpenSymbol" w:hAnsi="OpenSymbol" w:cs="OpenSymbol" w:eastAsia="OpenSymbol"/>
        <w:noProof w:val="0"/>
        <w:color w:val="000000"/>
        <w:highlight w:val="white"/>
        <w:rtl w:val="0"/>
        <w:cs/>
        <w:lang w:val="en-US" w:bidi="en-US" w:eastAsia="en-US"/>
      </w:rPr>
    </w:lvl>
    <w:lvl w:ilvl="6">
      <w:start w:val="1"/>
      <w:numFmt w:val="bullet"/>
      <w:suff w:val="tab"/>
      <w:lvlText w:val="•"/>
      <w:lvlJc w:val="left"/>
      <w:pPr>
        <w:ind w:hanging="360" w:left="2880"/>
      </w:pPr>
      <w:rPr>
        <w:rFonts w:ascii="OpenSymbol" w:hAnsi="OpenSymbol" w:cs="OpenSymbol" w:eastAsia="OpenSymbol"/>
        <w:noProof w:val="0"/>
        <w:color w:val="000000"/>
        <w:highlight w:val="white"/>
        <w:rtl w:val="0"/>
        <w:cs/>
        <w:lang w:val="en-US" w:bidi="en-US" w:eastAsia="en-US"/>
      </w:rPr>
    </w:lvl>
    <w:lvl w:ilvl="7">
      <w:start w:val="1"/>
      <w:numFmt w:val="bullet"/>
      <w:suff w:val="tab"/>
      <w:lvlText w:val="•"/>
      <w:lvlJc w:val="left"/>
      <w:pPr>
        <w:ind w:hanging="360" w:left="3240"/>
      </w:pPr>
      <w:rPr>
        <w:rFonts w:ascii="OpenSymbol" w:hAnsi="OpenSymbol" w:cs="OpenSymbol" w:eastAsia="OpenSymbol"/>
        <w:noProof w:val="0"/>
        <w:color w:val="000000"/>
        <w:highlight w:val="white"/>
        <w:rtl w:val="0"/>
        <w:cs/>
        <w:lang w:val="en-US" w:bidi="en-US" w:eastAsia="en-US"/>
      </w:rPr>
    </w:lvl>
    <w:lvl w:ilvl="8">
      <w:start w:val="1"/>
      <w:numFmt w:val="bullet"/>
      <w:suff w:val="tab"/>
      <w:lvlText w:val="•"/>
      <w:lvlJc w:val="left"/>
      <w:pPr>
        <w:ind w:hanging="360" w:left="3600"/>
      </w:pPr>
      <w:rPr>
        <w:rFonts w:ascii="OpenSymbol" w:hAnsi="OpenSymbol" w:cs="OpenSymbol" w:eastAsia="OpenSymbol"/>
        <w:noProof w:val="0"/>
        <w:color w:val="000000"/>
        <w:highlight w:val="white"/>
        <w:rtl w:val="0"/>
        <w:cs/>
        <w:lang w:val="en-US" w:bidi="en-US" w:eastAsia="en-US"/>
      </w:rPr>
    </w:lvl>
  </w:abstractNum>
  <w:abstractNum w:abstractNumId="6">
    <w:nsid w:val="00000005"/>
    <w:multiLevelType w:val="multilevel"/>
    <w:lvl w:ilvl="0">
      <w:start w:val="1"/>
      <w:numFmt w:val="bullet"/>
      <w:suff w:val="tab"/>
      <w:lvlText w:val="·"/>
      <w:lvlJc w:val="left"/>
      <w:pPr>
        <w:ind w:hanging="360" w:left="720"/>
      </w:pPr>
      <w:rPr>
        <w:rFonts w:ascii="Symbol" w:hAnsi="Symbol" w:cs="Symbol"/>
        <w:rtl w:val="0"/>
        <w:cs/>
      </w:rPr>
    </w:lvl>
    <w:lvl w:ilvl="1">
      <w:start w:val="1"/>
      <w:numFmt w:val="bullet"/>
      <w:suff w:val="tab"/>
      <w:lvlText w:val="o"/>
      <w:lvlJc w:val="left"/>
      <w:pPr>
        <w:ind w:hanging="360" w:left="1440"/>
      </w:pPr>
      <w:rPr>
        <w:rFonts w:ascii="Symbol" w:hAnsi="Symbol" w:cs="Symbol"/>
        <w:rtl w:val="0"/>
        <w:cs/>
      </w:rPr>
    </w:lvl>
    <w:lvl w:ilvl="2">
      <w:start w:val="1"/>
      <w:numFmt w:val="bullet"/>
      <w:suff w:val="tab"/>
      <w:lvlText w:val="·"/>
      <w:lvlJc w:val="left"/>
      <w:pPr>
        <w:ind w:hanging="360" w:left="2160"/>
      </w:pPr>
      <w:rPr>
        <w:rFonts w:ascii="Symbol" w:hAnsi="Symbol" w:cs="Symbol"/>
        <w:rtl w:val="0"/>
        <w:cs/>
      </w:rPr>
    </w:lvl>
    <w:lvl w:ilvl="3">
      <w:start w:val="1"/>
      <w:numFmt w:val="bullet"/>
      <w:suff w:val="tab"/>
      <w:lvlText w:val="o"/>
      <w:lvlJc w:val="left"/>
      <w:pPr>
        <w:ind w:hanging="360" w:left="2880"/>
      </w:pPr>
      <w:rPr>
        <w:rFonts w:ascii="Symbol" w:hAnsi="Symbol" w:cs="Symbol"/>
        <w:rtl w:val="0"/>
        <w:cs/>
      </w:rPr>
    </w:lvl>
    <w:lvl w:ilvl="4">
      <w:start w:val="1"/>
      <w:numFmt w:val="bullet"/>
      <w:suff w:val="tab"/>
      <w:lvlText w:val="·"/>
      <w:lvlJc w:val="left"/>
      <w:pPr>
        <w:ind w:hanging="360" w:left="3600"/>
      </w:pPr>
      <w:rPr>
        <w:rFonts w:ascii="Symbol" w:hAnsi="Symbol" w:cs="Symbol"/>
        <w:rtl w:val="0"/>
        <w:cs/>
      </w:rPr>
    </w:lvl>
    <w:lvl w:ilvl="5">
      <w:start w:val="1"/>
      <w:numFmt w:val="bullet"/>
      <w:suff w:val="tab"/>
      <w:lvlText w:val="o"/>
      <w:lvlJc w:val="left"/>
      <w:pPr>
        <w:ind w:hanging="360" w:left="4320"/>
      </w:pPr>
      <w:rPr>
        <w:rFonts w:ascii="Symbol" w:hAnsi="Symbol" w:cs="Symbol"/>
        <w:rtl w:val="0"/>
        <w:cs/>
      </w:rPr>
    </w:lvl>
    <w:lvl w:ilvl="6">
      <w:start w:val="1"/>
      <w:numFmt w:val="bullet"/>
      <w:suff w:val="tab"/>
      <w:lvlText w:val="·"/>
      <w:lvlJc w:val="left"/>
      <w:pPr>
        <w:ind w:hanging="360" w:left="5040"/>
      </w:pPr>
      <w:rPr>
        <w:rFonts w:ascii="Symbol" w:hAnsi="Symbol" w:cs="Symbol"/>
        <w:rtl w:val="0"/>
        <w:cs/>
      </w:rPr>
    </w:lvl>
    <w:lvl w:ilvl="7">
      <w:start w:val="1"/>
      <w:numFmt w:val="bullet"/>
      <w:suff w:val="tab"/>
      <w:lvlText w:val="o"/>
      <w:lvlJc w:val="left"/>
      <w:pPr>
        <w:ind w:hanging="360" w:left="5760"/>
      </w:pPr>
      <w:rPr>
        <w:rFonts w:ascii="Symbol" w:hAnsi="Symbol" w:cs="Symbol"/>
        <w:rtl w:val="0"/>
        <w:cs/>
      </w:rPr>
    </w:lvl>
    <w:lvl w:ilvl="8">
      <w:start w:val="1"/>
      <w:numFmt w:val="bullet"/>
      <w:suff w:val="tab"/>
      <w:lvlText w:val="·"/>
      <w:lvlJc w:val="left"/>
      <w:pPr>
        <w:ind w:hanging="360" w:left="6480"/>
      </w:pPr>
      <w:rPr>
        <w:rFonts w:ascii="Symbol" w:hAnsi="Symbol" w:cs="Symbol"/>
        <w:rtl w:val="0"/>
        <w:cs/>
      </w:rPr>
    </w:lvl>
  </w:abstractNum>
  <w:abstractNum w:abstractNumId="7">
    <w:nsid w:val="08D2BB21"/>
    <w:multiLevelType w:val="multilevel"/>
    <w:lvl w:ilvl="0">
      <w:start w:val="1"/>
      <w:numFmt w:val="lowerLetter"/>
      <w:suff w:val="tab"/>
      <w:lvlText w:val="%1)"/>
      <w:lvlJc w:val="left"/>
      <w:pPr>
        <w:ind w:hanging="360" w:left="720"/>
        <w:tabs>
          <w:tab w:val="num" w:pos="0" w:leader="none"/>
        </w:tabs>
      </w:pPr>
      <w:rPr>
        <w:rFonts w:ascii="Arial" w:hAnsi="Arial"/>
        <w:b w:val="1"/>
        <w:sz w:val="20"/>
      </w:rPr>
    </w:lvl>
    <w:lvl w:ilvl="1">
      <w:start w:val="1"/>
      <w:numFmt w:val="lowerLetter"/>
      <w:suff w:val="tab"/>
      <w:lvlText w:val="%2)"/>
      <w:lvlJc w:val="left"/>
      <w:pPr>
        <w:ind w:hanging="360" w:left="1080"/>
        <w:tabs>
          <w:tab w:val="num" w:pos="0" w:leader="none"/>
        </w:tabs>
      </w:pPr>
      <w:rPr>
        <w:rFonts w:ascii="Arial" w:hAnsi="Arial"/>
        <w:b w:val="1"/>
        <w:sz w:val="20"/>
      </w:rPr>
    </w:lvl>
    <w:lvl w:ilvl="2">
      <w:start w:val="1"/>
      <w:numFmt w:val="lowerLetter"/>
      <w:suff w:val="tab"/>
      <w:lvlText w:val="%3)"/>
      <w:lvlJc w:val="left"/>
      <w:pPr>
        <w:ind w:hanging="360" w:left="1440"/>
        <w:tabs>
          <w:tab w:val="num" w:pos="0" w:leader="none"/>
        </w:tabs>
      </w:pPr>
      <w:rPr>
        <w:rFonts w:ascii="Arial" w:hAnsi="Arial"/>
        <w:b w:val="1"/>
        <w:sz w:val="20"/>
      </w:rPr>
    </w:lvl>
    <w:lvl w:ilvl="3">
      <w:start w:val="1"/>
      <w:numFmt w:val="lowerLetter"/>
      <w:suff w:val="tab"/>
      <w:lvlText w:val="%4)"/>
      <w:lvlJc w:val="left"/>
      <w:pPr>
        <w:ind w:hanging="360" w:left="1800"/>
        <w:tabs>
          <w:tab w:val="num" w:pos="0" w:leader="none"/>
        </w:tabs>
      </w:pPr>
      <w:rPr>
        <w:rFonts w:ascii="Arial" w:hAnsi="Arial"/>
        <w:b w:val="1"/>
        <w:sz w:val="20"/>
      </w:rPr>
    </w:lvl>
    <w:lvl w:ilvl="4">
      <w:start w:val="1"/>
      <w:numFmt w:val="lowerLetter"/>
      <w:suff w:val="tab"/>
      <w:lvlText w:val="%5)"/>
      <w:lvlJc w:val="left"/>
      <w:pPr>
        <w:ind w:hanging="360" w:left="2160"/>
        <w:tabs>
          <w:tab w:val="num" w:pos="0" w:leader="none"/>
        </w:tabs>
      </w:pPr>
      <w:rPr>
        <w:rFonts w:ascii="Arial" w:hAnsi="Arial"/>
        <w:b w:val="1"/>
        <w:sz w:val="20"/>
      </w:rPr>
    </w:lvl>
    <w:lvl w:ilvl="5">
      <w:start w:val="1"/>
      <w:numFmt w:val="lowerLetter"/>
      <w:suff w:val="tab"/>
      <w:lvlText w:val="%6)"/>
      <w:lvlJc w:val="left"/>
      <w:pPr>
        <w:ind w:hanging="360" w:left="2520"/>
        <w:tabs>
          <w:tab w:val="num" w:pos="0" w:leader="none"/>
        </w:tabs>
      </w:pPr>
      <w:rPr>
        <w:rFonts w:ascii="Arial" w:hAnsi="Arial"/>
        <w:b w:val="1"/>
        <w:sz w:val="20"/>
      </w:rPr>
    </w:lvl>
    <w:lvl w:ilvl="6">
      <w:start w:val="1"/>
      <w:numFmt w:val="lowerLetter"/>
      <w:suff w:val="tab"/>
      <w:lvlText w:val="%7)"/>
      <w:lvlJc w:val="left"/>
      <w:pPr>
        <w:ind w:hanging="360" w:left="2880"/>
        <w:tabs>
          <w:tab w:val="num" w:pos="0" w:leader="none"/>
        </w:tabs>
      </w:pPr>
      <w:rPr>
        <w:rFonts w:ascii="Arial" w:hAnsi="Arial"/>
        <w:b w:val="1"/>
        <w:sz w:val="20"/>
      </w:rPr>
    </w:lvl>
    <w:lvl w:ilvl="7">
      <w:start w:val="1"/>
      <w:numFmt w:val="lowerLetter"/>
      <w:suff w:val="tab"/>
      <w:lvlText w:val="%8)"/>
      <w:lvlJc w:val="left"/>
      <w:pPr>
        <w:ind w:hanging="360" w:left="3240"/>
        <w:tabs>
          <w:tab w:val="num" w:pos="0" w:leader="none"/>
        </w:tabs>
      </w:pPr>
      <w:rPr>
        <w:rFonts w:ascii="Arial" w:hAnsi="Arial"/>
        <w:b w:val="1"/>
        <w:sz w:val="20"/>
      </w:rPr>
    </w:lvl>
    <w:lvl w:ilvl="8">
      <w:start w:val="1"/>
      <w:numFmt w:val="lowerLetter"/>
      <w:suff w:val="tab"/>
      <w:lvlText w:val="%9)"/>
      <w:lvlJc w:val="left"/>
      <w:pPr>
        <w:ind w:hanging="360" w:left="3600"/>
        <w:tabs>
          <w:tab w:val="num" w:pos="0" w:leader="none"/>
        </w:tabs>
      </w:pPr>
      <w:rPr>
        <w:rFonts w:ascii="Arial" w:hAnsi="Arial"/>
        <w:b w:val="1"/>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w="http://schemas.openxmlformats.org/wordprocessingml/2006/main">
  <w:displayBackgroundShape w:val="1"/>
  <w:defaultTabStop w:val="720"/>
  <w:autoHyphenation w:val="1"/>
  <w:evenAndOddHeaders w:val="0"/>
  <w:compat>
    <w:compatSetting w:name="compatibilityMode" w:uri="http://schemas.microsoft.com/office/word" w:val="12"/>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Liberation Serif" w:hAnsi="Liberation Serif" w:cs="Times New Roman" w:eastAsia="Times New Roman"/>
        <w:sz w:val="24"/>
        <w:szCs w:val="24"/>
        <w:lang w:val="ca-ES" w:bidi="hi-IN" w:eastAsia="zh-CN"/>
      </w:rPr>
    </w:rPrDefault>
    <w:pPrDefault>
      <w:pPr>
        <w:keepNext w:val="0"/>
        <w:keepLines w:val="0"/>
        <w:pageBreakBefore w:val="0"/>
        <w:widowControl w:val="1"/>
        <w:suppressLineNumbers w:val="0"/>
        <w:shd w:val="clear" w:fill="auto"/>
        <w:suppressAutoHyphens w:val="1"/>
        <w:spacing w:lineRule="auto" w:line="240" w:before="0" w:after="0" w:beforeAutospacing="0" w:afterAutospacing="0"/>
        <w:ind w:firstLine="0" w:left="0" w:right="0"/>
        <w:contextualSpacing w:val="0"/>
        <w:bidi w:val="0"/>
        <w:jc w:val="left"/>
        <w:outlineLvl w:val="9"/>
      </w:pPr>
    </w:pPrDefault>
  </w:docDefaults>
  <w:style w:type="paragraph" w:styleId="P0" w:default="1">
    <w:name w:val="Normal"/>
    <w:pPr>
      <w:keepNext w:val="0"/>
      <w:keepLines w:val="0"/>
      <w:pageBreakBefore w:val="0"/>
      <w:widowControl w:val="1"/>
      <w:pBdr>
        <w:top w:val="none" w:sz="0" w:space="0" w:shadow="0" w:frame="0" w:color="auto"/>
        <w:left w:val="none" w:sz="0" w:space="0" w:shadow="0" w:frame="0" w:color="auto"/>
        <w:bottom w:val="none" w:sz="0" w:space="0" w:shadow="0" w:frame="0" w:color="auto"/>
        <w:right w:val="none" w:sz="0" w:space="0" w:shadow="0" w:frame="0" w:color="auto"/>
        <w:between w:val="none" w:sz="0" w:space="0" w:shadow="0" w:frame="0" w:color="auto"/>
      </w:pBdr>
      <w:shd w:val="clear" w:fill="auto"/>
      <w:suppressAutoHyphens w:val="1"/>
      <w:spacing w:lineRule="auto" w:line="240" w:before="0" w:after="0" w:beforeAutospacing="0" w:afterAutospacing="0"/>
      <w:ind w:firstLine="0" w:left="0" w:right="0"/>
      <w:bidi w:val="0"/>
      <w:jc w:val="left"/>
    </w:pPr>
    <w:rPr>
      <w:rFonts w:ascii="Times New Roman" w:hAnsi="Times New Roman" w:cs="Times New Roman" w:eastAsia="Times New Roman"/>
      <w:b w:val="0"/>
      <w:i w:val="0"/>
      <w:caps w:val="0"/>
      <w:smallCaps w:val="0"/>
      <w:vanish w:val="0"/>
      <w:color w:val="000000"/>
      <w:sz w:val="20"/>
      <w:szCs w:val="24"/>
      <w:u w:val="none"/>
      <w:shd w:val="clear" w:color="auto" w:fill="auto"/>
      <w:vertAlign w:val="baseline"/>
      <w:position w:val="0"/>
      <w:lang w:val="ca-ES" w:bidi="hi-IN" w:eastAsia="zh-CN"/>
    </w:rPr>
  </w:style>
  <w:style w:type="paragraph" w:styleId="P1">
    <w:name w:val="Título"/>
    <w:basedOn w:val="P0"/>
    <w:next w:val="P2"/>
    <w:pPr>
      <w:keepNext w:val="1"/>
      <w:shd w:val="clear" w:fill="auto"/>
      <w:spacing w:before="240" w:after="120" w:beforeAutospacing="0" w:afterAutospacing="0"/>
    </w:pPr>
    <w:rPr>
      <w:rFonts w:ascii="Liberation Sans" w:hAnsi="Liberation Sans"/>
      <w:sz w:val="28"/>
    </w:rPr>
  </w:style>
  <w:style w:type="paragraph" w:styleId="P2">
    <w:name w:val="Body Text"/>
    <w:basedOn w:val="P0"/>
    <w:pPr>
      <w:shd w:val="clear" w:fill="auto"/>
      <w:spacing w:lineRule="auto" w:line="276" w:before="0" w:after="140" w:beforeAutospacing="0" w:afterAutospacing="0"/>
    </w:pPr>
    <w:rPr/>
  </w:style>
  <w:style w:type="paragraph" w:styleId="P3">
    <w:name w:val="List"/>
    <w:basedOn w:val="P2"/>
    <w:pPr>
      <w:shd w:val="clear" w:fill="auto"/>
    </w:pPr>
    <w:rPr/>
  </w:style>
  <w:style w:type="paragraph" w:styleId="P4">
    <w:name w:val="Caption"/>
    <w:basedOn w:val="P0"/>
    <w:pPr>
      <w:suppressLineNumbers w:val="1"/>
      <w:shd w:val="clear" w:fill="auto"/>
      <w:spacing w:before="120" w:after="120" w:beforeAutospacing="0" w:afterAutospacing="0"/>
    </w:pPr>
    <w:rPr>
      <w:i w:val="1"/>
      <w:sz w:val="24"/>
    </w:rPr>
  </w:style>
  <w:style w:type="paragraph" w:styleId="P5">
    <w:name w:val="Índice"/>
    <w:basedOn w:val="P0"/>
    <w:pPr>
      <w:suppressLineNumbers w:val="1"/>
      <w:shd w:val="clear" w:fill="auto"/>
    </w:pPr>
    <w:rPr/>
  </w:style>
  <w:style w:type="paragraph" w:styleId="P6">
    <w:name w:val="Standard"/>
    <w:pPr>
      <w:keepNext w:val="0"/>
      <w:keepLines w:val="0"/>
      <w:pageBreakBefore w:val="0"/>
      <w:widowControl w:val="1"/>
      <w:pBdr>
        <w:top w:val="none" w:sz="0" w:space="0" w:shadow="0" w:frame="0" w:color="auto"/>
        <w:left w:val="none" w:sz="0" w:space="0" w:shadow="0" w:frame="0" w:color="auto"/>
        <w:bottom w:val="none" w:sz="0" w:space="0" w:shadow="0" w:frame="0" w:color="auto"/>
        <w:right w:val="none" w:sz="0" w:space="0" w:shadow="0" w:frame="0" w:color="auto"/>
        <w:between w:val="none" w:sz="0" w:space="0" w:shadow="0" w:frame="0" w:color="auto"/>
      </w:pBdr>
      <w:shd w:val="clear" w:fill="auto"/>
      <w:suppressAutoHyphens w:val="1"/>
      <w:spacing w:lineRule="auto" w:line="240" w:before="0" w:after="0" w:beforeAutospacing="0" w:afterAutospacing="0"/>
      <w:ind w:firstLine="0" w:left="0" w:right="0"/>
      <w:bidi w:val="0"/>
      <w:jc w:val="left"/>
    </w:pPr>
    <w:rPr>
      <w:rFonts w:ascii="Times New Roman" w:hAnsi="Times New Roman" w:cs="Times New Roman" w:eastAsia="Times New Roman"/>
      <w:b w:val="0"/>
      <w:i w:val="0"/>
      <w:caps w:val="0"/>
      <w:smallCaps w:val="0"/>
      <w:vanish w:val="0"/>
      <w:color w:val="000000"/>
      <w:sz w:val="20"/>
      <w:szCs w:val="24"/>
      <w:u w:val="none"/>
      <w:shd w:val="clear" w:color="auto" w:fill="auto"/>
      <w:vertAlign w:val="baseline"/>
      <w:position w:val="0"/>
      <w:lang w:val="ca-ES" w:bidi="hi-IN" w:eastAsia="zh-CN"/>
    </w:rPr>
  </w:style>
  <w:style w:type="paragraph" w:styleId="P7">
    <w:name w:val="[Normal]"/>
    <w:pPr>
      <w:keepNext w:val="0"/>
      <w:keepLines w:val="0"/>
      <w:pageBreakBefore w:val="0"/>
      <w:widowControl w:val="1"/>
      <w:pBdr>
        <w:top w:val="none" w:sz="0" w:space="0" w:shadow="0" w:frame="0" w:color="auto"/>
        <w:left w:val="none" w:sz="0" w:space="0" w:shadow="0" w:frame="0" w:color="auto"/>
        <w:bottom w:val="none" w:sz="0" w:space="0" w:shadow="0" w:frame="0" w:color="auto"/>
        <w:right w:val="none" w:sz="0" w:space="0" w:shadow="0" w:frame="0" w:color="auto"/>
        <w:between w:val="none" w:sz="0" w:space="0" w:shadow="0" w:frame="0" w:color="auto"/>
      </w:pBdr>
      <w:shd w:val="clear" w:fill="auto"/>
      <w:suppressAutoHyphens w:val="1"/>
      <w:spacing w:lineRule="auto" w:line="240" w:before="0" w:after="0" w:beforeAutospacing="0" w:afterAutospacing="0"/>
      <w:ind w:firstLine="0" w:left="0" w:right="0"/>
      <w:bidi w:val="0"/>
      <w:jc w:val="left"/>
    </w:pPr>
    <w:rPr>
      <w:rFonts w:ascii="Arial" w:hAnsi="Arial" w:cs="Times New Roman" w:eastAsia="Times New Roman"/>
      <w:b w:val="0"/>
      <w:i w:val="0"/>
      <w:caps w:val="0"/>
      <w:smallCaps w:val="0"/>
      <w:vanish w:val="0"/>
      <w:color w:val="000000"/>
      <w:sz w:val="24"/>
      <w:szCs w:val="24"/>
      <w:u w:val="none"/>
      <w:shd w:val="clear" w:color="auto" w:fill="auto"/>
      <w:vertAlign w:val="baseline"/>
      <w:position w:val="0"/>
      <w:lang w:val="ca-ES" w:bidi="hi-IN" w:eastAsia="zh-CN"/>
    </w:rPr>
  </w:style>
  <w:style w:type="paragraph" w:styleId="P8">
    <w:name w:val="Encapçalament"/>
    <w:basedOn w:val="P0"/>
    <w:next w:val="P9"/>
    <w:pPr>
      <w:keepNext w:val="1"/>
      <w:shd w:val="clear" w:fill="auto"/>
      <w:spacing w:before="240" w:after="120" w:beforeAutospacing="0" w:afterAutospacing="0"/>
    </w:pPr>
    <w:rPr>
      <w:rFonts w:ascii="Liberation Sans" w:hAnsi="Liberation Sans"/>
      <w:sz w:val="28"/>
    </w:rPr>
  </w:style>
  <w:style w:type="paragraph" w:styleId="P9">
    <w:name w:val="Cos del text"/>
    <w:basedOn w:val="P0"/>
    <w:pPr>
      <w:shd w:val="clear" w:fill="auto"/>
      <w:spacing w:lineRule="auto" w:line="288" w:before="0" w:after="140" w:beforeAutospacing="0" w:afterAutospacing="0"/>
    </w:pPr>
    <w:rPr>
      <w:sz w:val="20"/>
    </w:rPr>
  </w:style>
  <w:style w:type="paragraph" w:styleId="P10">
    <w:name w:val="Llegenda"/>
    <w:basedOn w:val="P0"/>
    <w:pPr>
      <w:suppressLineNumbers w:val="1"/>
      <w:shd w:val="clear" w:fill="auto"/>
      <w:spacing w:before="120" w:after="120" w:beforeAutospacing="0" w:afterAutospacing="0"/>
    </w:pPr>
    <w:rPr>
      <w:i w:val="1"/>
      <w:sz w:val="24"/>
    </w:rPr>
  </w:style>
  <w:style w:type="paragraph" w:styleId="P11">
    <w:name w:val="Índex"/>
    <w:basedOn w:val="P0"/>
    <w:pPr>
      <w:suppressLineNumbers w:val="1"/>
      <w:shd w:val="clear" w:fill="auto"/>
    </w:pPr>
    <w:rPr>
      <w:sz w:val="20"/>
    </w:rPr>
  </w:style>
  <w:style w:type="paragraph" w:styleId="P12">
    <w:name w:val="Texto sin formato"/>
    <w:basedOn w:val="P0"/>
    <w:pPr>
      <w:shd w:val="clear" w:fill="auto"/>
    </w:pPr>
    <w:rPr>
      <w:rFonts w:ascii="Courier New" w:hAnsi="Courier New"/>
      <w:sz w:val="20"/>
    </w:rPr>
  </w:style>
  <w:style w:type="paragraph" w:styleId="P13">
    <w:name w:val="Encabezado"/>
    <w:basedOn w:val="P0"/>
    <w:pPr>
      <w:shd w:val="clear" w:fill="auto"/>
      <w:tabs>
        <w:tab w:val="clear" w:pos="720" w:leader="none"/>
        <w:tab w:val="center" w:pos="4252" w:leader="none"/>
        <w:tab w:val="right" w:pos="8504" w:leader="none"/>
      </w:tabs>
    </w:pPr>
    <w:rPr>
      <w:sz w:val="20"/>
    </w:rPr>
  </w:style>
  <w:style w:type="paragraph" w:styleId="P14">
    <w:name w:val="Cabecera y pie"/>
    <w:basedOn w:val="P0"/>
    <w:pPr/>
    <w:rPr/>
  </w:style>
  <w:style w:type="paragraph" w:styleId="P15">
    <w:name w:val="Footer"/>
    <w:basedOn w:val="P0"/>
    <w:pPr>
      <w:shd w:val="clear" w:fill="auto"/>
      <w:tabs>
        <w:tab w:val="clear" w:pos="720" w:leader="none"/>
        <w:tab w:val="center" w:pos="4252" w:leader="none"/>
        <w:tab w:val="right" w:pos="8504" w:leader="none"/>
      </w:tabs>
    </w:pPr>
    <w:rPr>
      <w:sz w:val="20"/>
    </w:rPr>
  </w:style>
  <w:style w:type="paragraph" w:styleId="P16">
    <w:name w:val="Peu de pàgina"/>
    <w:basedOn w:val="P0"/>
    <w:pPr>
      <w:suppressLineNumbers w:val="1"/>
      <w:shd w:val="clear" w:fill="auto"/>
      <w:tabs>
        <w:tab w:val="clear" w:pos="720" w:leader="none"/>
        <w:tab w:val="center" w:pos="4819" w:leader="none"/>
        <w:tab w:val="right" w:pos="9638" w:leader="none"/>
      </w:tabs>
    </w:pPr>
    <w:rPr>
      <w:sz w:val="20"/>
    </w:rPr>
  </w:style>
  <w:style w:type="paragraph" w:styleId="P17">
    <w:name w:val="Capçalera"/>
    <w:basedOn w:val="P0"/>
    <w:pPr>
      <w:suppressLineNumbers w:val="1"/>
      <w:shd w:val="clear" w:fill="auto"/>
      <w:tabs>
        <w:tab w:val="clear" w:pos="720" w:leader="none"/>
        <w:tab w:val="center" w:pos="4819" w:leader="none"/>
        <w:tab w:val="right" w:pos="9638" w:leader="none"/>
      </w:tabs>
    </w:pPr>
    <w:rPr>
      <w:sz w:val="20"/>
    </w:rPr>
  </w:style>
  <w:style w:type="paragraph" w:styleId="P18">
    <w:name w:val="Llista"/>
    <w:basedOn w:val="P9"/>
    <w:pPr>
      <w:shd w:val="clear" w:fill="auto"/>
    </w:pPr>
    <w:rPr>
      <w:sz w:val="20"/>
    </w:rPr>
  </w:style>
  <w:style w:type="paragraph" w:styleId="P19">
    <w:name w:val="Header"/>
    <w:basedOn w:val="P0"/>
    <w:pPr>
      <w:suppressLineNumbers w:val="1"/>
      <w:shd w:val="clear" w:fill="auto"/>
      <w:tabs>
        <w:tab w:val="clear" w:pos="720" w:leader="none"/>
        <w:tab w:val="center" w:pos="4819" w:leader="none"/>
        <w:tab w:val="right" w:pos="9638" w:leader="none"/>
      </w:tabs>
    </w:pPr>
    <w:rPr/>
  </w:style>
  <w:style w:type="paragraph" w:styleId="P20">
    <w:name w:val="Cuerpo de texto"/>
    <w:basedOn w:val="P0"/>
    <w:next w:val="P20"/>
    <w:pPr>
      <w:suppressAutoHyphens w:val="1"/>
    </w:pPr>
    <w:rPr>
      <w:rFonts w:ascii="Liberation Serif" w:hAnsi="Liberation Serif" w:cs="Liberation Serif"/>
      <w:color w:val="auto"/>
      <w:sz w:val="24"/>
      <w:lang w:val="ca-ES" w:bidi="ca-ES" w:eastAsia="ca-ES"/>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character" w:styleId="C3">
    <w:name w:val="Numeración de renglones"/>
    <w:basedOn w:val="C0"/>
    <w:rPr>
      <w:sz w:val="20"/>
    </w:rPr>
  </w:style>
  <w:style w:type="character" w:styleId="C4">
    <w:name w:val="Enlace de Internet"/>
    <w:rPr>
      <w:color w:val="0000FF"/>
      <w:sz w:val="20"/>
      <w:u w:val="single"/>
    </w:rPr>
  </w:style>
  <w:style w:type="character" w:styleId="C5">
    <w:name w:val="Absatz-Standardschriftart"/>
    <w:rPr>
      <w:sz w:val="20"/>
    </w:rPr>
  </w:style>
  <w:style w:type="character" w:styleId="C6">
    <w:name w:val="Enllaç d'Internet"/>
    <w:rPr>
      <w:color w:val="000080"/>
      <w:sz w:val="20"/>
      <w:u w:val="single"/>
    </w:rPr>
  </w:style>
  <w:style w:type="table" w:styleId="T0" w:default="1">
    <w:name w:val="Normal Table"/>
    <w:tblPr>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s>
</file>

<file path=word/_rels/document.xml.rels>&#65279;<?xml version="1.0" encoding="utf-8"?><Relationships xmlns="http://schemas.openxmlformats.org/package/2006/relationships"><Relationship Id="RelHdr1" Type="http://schemas.openxmlformats.org/officeDocument/2006/relationships/header" Target="header1.xml" /><Relationship Id="RelFtr1" Type="http://schemas.openxmlformats.org/officeDocument/2006/relationships/footer" Target="footer1.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s>
</file>

<file path=word/_rels/header1.xml.rels>&#65279;<?xml version="1.0" encoding="utf-8"?><Relationships xmlns="http://schemas.openxmlformats.org/package/2006/relationships"><Relationship Id="Relimage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theme>
</file>

<file path=docProps/app.xml><?xml version="1.0" encoding="utf-8"?>
<Properties xmlns="http://schemas.openxmlformats.org/officeDocument/2006/extended-properties">
  <Application>DevExpress Office File API/20.1.6.0</Application>
  <AppVersion>20.1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FERRERIESNT\ufjt0017</dc:creator>
  <dcterms:created xsi:type="dcterms:W3CDTF">2026-08-26T06:51:20Z</dcterms:created>
  <cp:lastModifiedBy>FERRERIESNT\ufjt0017</cp:lastModifiedBy>
  <dcterms:modified xsi:type="dcterms:W3CDTF">2026-08-26T06:52:10Z</dcterms:modified>
  <cp:revision>1</cp:revision>
</cp:coreProperties>
</file>